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1A0" w:rsidRPr="004F21A0" w:rsidRDefault="004F21A0" w:rsidP="004F21A0">
      <w:pPr>
        <w:pStyle w:val="PlainText"/>
        <w:widowControl w:val="0"/>
        <w:jc w:val="center"/>
        <w:rPr>
          <w:rFonts w:ascii="Qadi Linotype" w:hAnsi="Qadi Linotype" w:cs="Qadi Linotype"/>
          <w:color w:val="C00000"/>
          <w:sz w:val="44"/>
          <w:szCs w:val="44"/>
          <w:rtl/>
          <w:lang w:bidi="fa-IR"/>
        </w:rPr>
      </w:pPr>
    </w:p>
    <w:p w:rsidR="004F21A0" w:rsidRDefault="004F21A0" w:rsidP="004F21A0">
      <w:pPr>
        <w:pStyle w:val="PlainText"/>
        <w:widowControl w:val="0"/>
        <w:jc w:val="center"/>
        <w:rPr>
          <w:rFonts w:ascii="Qadi Linotype" w:hAnsi="Qadi Linotype" w:cs="Qadi Linotype"/>
          <w:color w:val="C00000"/>
          <w:sz w:val="44"/>
          <w:szCs w:val="44"/>
          <w:rtl/>
        </w:rPr>
      </w:pPr>
    </w:p>
    <w:p w:rsidR="004F21A0" w:rsidRPr="006A084B" w:rsidRDefault="004F21A0" w:rsidP="006A084B">
      <w:pPr>
        <w:pStyle w:val="PlainText"/>
        <w:widowControl w:val="0"/>
        <w:jc w:val="center"/>
        <w:rPr>
          <w:rFonts w:ascii="Qadi Linotype" w:hAnsi="Qadi Linotype" w:cs="Qadi Linotype"/>
          <w:sz w:val="56"/>
          <w:szCs w:val="56"/>
          <w:rtl/>
          <w:lang w:bidi="fa-IR"/>
        </w:rPr>
      </w:pPr>
      <w:r w:rsidRPr="006A084B">
        <w:rPr>
          <w:rFonts w:ascii="Qadi Linotype" w:hAnsi="Qadi Linotype" w:cs="Qadi Linotype" w:hint="cs"/>
          <w:sz w:val="72"/>
          <w:szCs w:val="72"/>
          <w:rtl/>
        </w:rPr>
        <w:t>ترجم</w:t>
      </w:r>
      <w:bookmarkStart w:id="0" w:name="_GoBack"/>
      <w:bookmarkEnd w:id="0"/>
      <w:r w:rsidRPr="006A084B">
        <w:rPr>
          <w:rFonts w:ascii="Qadi Linotype" w:hAnsi="Qadi Linotype" w:cs="Qadi Linotype" w:hint="cs"/>
          <w:sz w:val="72"/>
          <w:szCs w:val="72"/>
          <w:rtl/>
        </w:rPr>
        <w:t xml:space="preserve">ة </w:t>
      </w:r>
      <w:r w:rsidR="006A084B">
        <w:rPr>
          <w:rFonts w:ascii="Qadi Linotype" w:hAnsi="Qadi Linotype" w:cs="Qadi Linotype" w:hint="cs"/>
          <w:sz w:val="72"/>
          <w:szCs w:val="72"/>
          <w:rtl/>
        </w:rPr>
        <w:t>جزء من</w:t>
      </w:r>
      <w:r w:rsidRPr="006A084B">
        <w:rPr>
          <w:rFonts w:ascii="Qadi Linotype" w:hAnsi="Qadi Linotype" w:cs="Qadi Linotype"/>
          <w:sz w:val="56"/>
          <w:szCs w:val="56"/>
          <w:rtl/>
        </w:rPr>
        <w:br/>
      </w:r>
      <w:r w:rsidRPr="006A084B">
        <w:rPr>
          <w:rFonts w:ascii="Qadi Linotype" w:hAnsi="Qadi Linotype" w:cs="Qadi Linotype" w:hint="cs"/>
          <w:sz w:val="56"/>
          <w:szCs w:val="56"/>
          <w:rtl/>
        </w:rPr>
        <w:t>كتاب: (جريان‌ها و سازمان‌ها</w:t>
      </w:r>
      <w:r w:rsidR="006A084B" w:rsidRPr="006A084B">
        <w:rPr>
          <w:rFonts w:ascii="Qadi Linotype" w:hAnsi="Qadi Linotype" w:cs="Qadi Linotype" w:hint="cs"/>
          <w:sz w:val="56"/>
          <w:szCs w:val="56"/>
          <w:rtl/>
        </w:rPr>
        <w:t>ي</w:t>
      </w:r>
      <w:r w:rsidRPr="006A084B">
        <w:rPr>
          <w:rFonts w:ascii="Qadi Linotype" w:hAnsi="Qadi Linotype" w:cs="Qadi Linotype" w:hint="cs"/>
          <w:sz w:val="56"/>
          <w:szCs w:val="56"/>
          <w:rtl/>
        </w:rPr>
        <w:t xml:space="preserve"> </w:t>
      </w:r>
      <w:r w:rsidRPr="006A084B">
        <w:rPr>
          <w:rFonts w:ascii="Qadi Linotype" w:hAnsi="Qadi Linotype" w:cs="Qadi Linotype" w:hint="cs"/>
          <w:sz w:val="56"/>
          <w:szCs w:val="56"/>
          <w:rtl/>
          <w:lang w:bidi="fa-IR"/>
        </w:rPr>
        <w:t>سیاس</w:t>
      </w:r>
      <w:r w:rsidR="006A084B" w:rsidRPr="006A084B">
        <w:rPr>
          <w:rFonts w:ascii="Qadi Linotype" w:hAnsi="Qadi Linotype" w:cs="Qadi Linotype" w:hint="cs"/>
          <w:sz w:val="56"/>
          <w:szCs w:val="56"/>
          <w:rtl/>
          <w:lang w:bidi="fa-IR"/>
        </w:rPr>
        <w:t>ي</w:t>
      </w:r>
      <w:r w:rsidRPr="006A084B">
        <w:rPr>
          <w:rFonts w:ascii="Qadi Linotype" w:hAnsi="Qadi Linotype" w:cs="Qadi Linotype" w:hint="cs"/>
          <w:sz w:val="56"/>
          <w:szCs w:val="56"/>
          <w:rtl/>
          <w:lang w:bidi="fa-IR"/>
        </w:rPr>
        <w:t xml:space="preserve"> مذهب</w:t>
      </w:r>
      <w:r w:rsidR="006A084B" w:rsidRPr="006A084B">
        <w:rPr>
          <w:rFonts w:ascii="Qadi Linotype" w:hAnsi="Qadi Linotype" w:cs="Qadi Linotype" w:hint="cs"/>
          <w:sz w:val="56"/>
          <w:szCs w:val="56"/>
          <w:rtl/>
          <w:lang w:bidi="fa-IR"/>
        </w:rPr>
        <w:t>ي</w:t>
      </w:r>
      <w:r w:rsidRPr="006A084B">
        <w:rPr>
          <w:rFonts w:ascii="Qadi Linotype" w:hAnsi="Qadi Linotype" w:cs="Qadi Linotype" w:hint="cs"/>
          <w:sz w:val="56"/>
          <w:szCs w:val="56"/>
          <w:rtl/>
          <w:lang w:bidi="fa-IR"/>
        </w:rPr>
        <w:t xml:space="preserve"> ایران)</w:t>
      </w:r>
    </w:p>
    <w:p w:rsidR="003B048F" w:rsidRPr="00766C68" w:rsidRDefault="003B048F" w:rsidP="003B048F">
      <w:pPr>
        <w:pStyle w:val="PlainText"/>
        <w:widowControl w:val="0"/>
        <w:jc w:val="center"/>
        <w:rPr>
          <w:rFonts w:ascii="Qadi Linotype" w:hAnsi="Qadi Linotype" w:cs="Qadi Linotype"/>
          <w:sz w:val="40"/>
          <w:szCs w:val="40"/>
          <w:rtl/>
          <w:lang w:bidi="ar-QA"/>
        </w:rPr>
      </w:pPr>
    </w:p>
    <w:p w:rsidR="003B048F" w:rsidRDefault="003B048F" w:rsidP="003B048F">
      <w:pPr>
        <w:spacing w:line="216" w:lineRule="auto"/>
        <w:jc w:val="center"/>
        <w:rPr>
          <w:rFonts w:ascii="Lotus Linotype" w:hAnsi="Lotus Linotype" w:cs="mylotus"/>
          <w:b/>
          <w:bCs/>
          <w:color w:val="B48900"/>
          <w:sz w:val="29"/>
          <w:szCs w:val="29"/>
          <w:rtl/>
          <w:lang w:bidi="fa-IR"/>
        </w:rPr>
      </w:pPr>
    </w:p>
    <w:p w:rsidR="004F21A0" w:rsidRPr="004F21A0" w:rsidRDefault="004F21A0" w:rsidP="00417F95">
      <w:pPr>
        <w:spacing w:line="216" w:lineRule="auto"/>
        <w:jc w:val="center"/>
        <w:rPr>
          <w:rFonts w:ascii="Lotus Linotype" w:hAnsi="Lotus Linotype" w:cs="mylotus"/>
          <w:b/>
          <w:bCs/>
          <w:sz w:val="32"/>
          <w:szCs w:val="32"/>
          <w:rtl/>
          <w:lang w:bidi="ar-QA"/>
        </w:rPr>
      </w:pPr>
      <w:r w:rsidRPr="004F21A0">
        <w:rPr>
          <w:rFonts w:ascii="Lotus Linotype" w:hAnsi="Lotus Linotype" w:cs="mylotus" w:hint="cs"/>
          <w:b/>
          <w:bCs/>
          <w:sz w:val="32"/>
          <w:szCs w:val="32"/>
          <w:rtl/>
          <w:lang w:bidi="ar-QA"/>
        </w:rPr>
        <w:t>الـ</w:t>
      </w:r>
      <w:r w:rsidR="006A084B">
        <w:rPr>
          <w:rFonts w:ascii="Lotus Linotype" w:hAnsi="Lotus Linotype" w:cs="mylotus" w:hint="cs"/>
          <w:b/>
          <w:bCs/>
          <w:sz w:val="32"/>
          <w:szCs w:val="32"/>
          <w:rtl/>
          <w:lang w:bidi="ar-QA"/>
        </w:rPr>
        <w:t>م</w:t>
      </w:r>
      <w:r w:rsidRPr="004F21A0">
        <w:rPr>
          <w:rFonts w:ascii="Lotus Linotype" w:hAnsi="Lotus Linotype" w:cs="mylotus" w:hint="cs"/>
          <w:b/>
          <w:bCs/>
          <w:sz w:val="32"/>
          <w:szCs w:val="32"/>
          <w:rtl/>
          <w:lang w:bidi="ar-QA"/>
        </w:rPr>
        <w:t>ؤلف:</w:t>
      </w:r>
    </w:p>
    <w:p w:rsidR="004F21A0" w:rsidRDefault="004F21A0" w:rsidP="00417F95">
      <w:pPr>
        <w:spacing w:line="216" w:lineRule="auto"/>
        <w:jc w:val="center"/>
        <w:rPr>
          <w:rFonts w:ascii="Lotus Linotype" w:hAnsi="Lotus Linotype" w:cs="mylotus"/>
          <w:b/>
          <w:bCs/>
          <w:sz w:val="36"/>
          <w:szCs w:val="36"/>
          <w:rtl/>
          <w:lang w:bidi="ar-QA"/>
        </w:rPr>
      </w:pPr>
      <w:r w:rsidRPr="004F21A0">
        <w:rPr>
          <w:rFonts w:ascii="Lotus Linotype" w:hAnsi="Lotus Linotype" w:cs="mylotus" w:hint="cs"/>
          <w:b/>
          <w:bCs/>
          <w:sz w:val="36"/>
          <w:szCs w:val="36"/>
          <w:rtl/>
          <w:lang w:bidi="ar-QA"/>
        </w:rPr>
        <w:t>رسول جعفريان</w:t>
      </w:r>
    </w:p>
    <w:p w:rsidR="004F21A0" w:rsidRPr="004F21A0" w:rsidRDefault="004F21A0" w:rsidP="00417F95">
      <w:pPr>
        <w:spacing w:line="216" w:lineRule="auto"/>
        <w:jc w:val="center"/>
        <w:rPr>
          <w:rFonts w:ascii="Lotus Linotype" w:hAnsi="Lotus Linotype" w:cs="mylotus"/>
          <w:b/>
          <w:bCs/>
          <w:sz w:val="36"/>
          <w:szCs w:val="36"/>
          <w:rtl/>
          <w:lang w:bidi="ar-QA"/>
        </w:rPr>
      </w:pPr>
    </w:p>
    <w:p w:rsidR="004F21A0" w:rsidRPr="004F21A0" w:rsidRDefault="004F21A0" w:rsidP="00417F95">
      <w:pPr>
        <w:spacing w:line="216" w:lineRule="auto"/>
        <w:jc w:val="center"/>
        <w:rPr>
          <w:rFonts w:ascii="Lotus Linotype" w:hAnsi="Lotus Linotype" w:cs="mylotus"/>
          <w:b/>
          <w:bCs/>
          <w:sz w:val="32"/>
          <w:szCs w:val="32"/>
          <w:rtl/>
          <w:lang w:bidi="ar-QA"/>
        </w:rPr>
      </w:pPr>
      <w:r w:rsidRPr="004F21A0">
        <w:rPr>
          <w:rFonts w:ascii="Lotus Linotype" w:hAnsi="Lotus Linotype" w:cs="mylotus" w:hint="cs"/>
          <w:b/>
          <w:bCs/>
          <w:sz w:val="32"/>
          <w:szCs w:val="32"/>
          <w:rtl/>
          <w:lang w:bidi="ar-QA"/>
        </w:rPr>
        <w:t>المترجم:</w:t>
      </w:r>
    </w:p>
    <w:p w:rsidR="003B048F" w:rsidRPr="00766C68" w:rsidRDefault="006A084B" w:rsidP="004F21A0">
      <w:pPr>
        <w:spacing w:line="216" w:lineRule="auto"/>
        <w:jc w:val="center"/>
        <w:rPr>
          <w:rFonts w:ascii="Qadi Linotype" w:hAnsi="Qadi Linotype" w:cs="Qadi Linotype"/>
          <w:color w:val="C00000"/>
          <w:sz w:val="40"/>
          <w:szCs w:val="40"/>
          <w:rtl/>
          <w:lang w:bidi="ar-QA"/>
        </w:rPr>
      </w:pPr>
      <w:r>
        <w:rPr>
          <w:rFonts w:ascii="Lotus Linotype" w:hAnsi="Lotus Linotype" w:cs="mylotus" w:hint="cs"/>
          <w:b/>
          <w:bCs/>
          <w:sz w:val="36"/>
          <w:szCs w:val="36"/>
          <w:rtl/>
          <w:lang w:bidi="ar-QA"/>
        </w:rPr>
        <w:t xml:space="preserve">د. </w:t>
      </w:r>
      <w:r w:rsidR="004F21A0" w:rsidRPr="004F21A0">
        <w:rPr>
          <w:rFonts w:ascii="Lotus Linotype" w:hAnsi="Lotus Linotype" w:cs="mylotus" w:hint="cs"/>
          <w:b/>
          <w:bCs/>
          <w:sz w:val="36"/>
          <w:szCs w:val="36"/>
          <w:rtl/>
          <w:lang w:bidi="ar-QA"/>
        </w:rPr>
        <w:t>سعد رستم</w:t>
      </w:r>
    </w:p>
    <w:p w:rsidR="00140CDF" w:rsidRDefault="00140CDF" w:rsidP="00140CDF">
      <w:pPr>
        <w:pStyle w:val="001-"/>
        <w:jc w:val="center"/>
        <w:rPr>
          <w:rFonts w:ascii="Qadi Linotype" w:hAnsi="Qadi Linotype" w:cs="Qadi Linotype"/>
          <w:rtl/>
        </w:rPr>
      </w:pPr>
    </w:p>
    <w:p w:rsidR="00140CDF" w:rsidRDefault="00140CDF" w:rsidP="00140CDF">
      <w:pPr>
        <w:pStyle w:val="NoParagraphStyle"/>
        <w:jc w:val="center"/>
        <w:rPr>
          <w:rtl/>
        </w:rPr>
        <w:sectPr w:rsidR="00140CDF" w:rsidSect="00140CDF">
          <w:headerReference w:type="even" r:id="rId9"/>
          <w:headerReference w:type="default" r:id="rId10"/>
          <w:footnotePr>
            <w:numRestart w:val="eachPage"/>
          </w:footnotePr>
          <w:pgSz w:w="9356" w:h="13608" w:code="1"/>
          <w:pgMar w:top="1021" w:right="851" w:bottom="737" w:left="851" w:header="454" w:footer="0" w:gutter="0"/>
          <w:pgNumType w:fmt="numberInDash"/>
          <w:cols w:space="720"/>
          <w:titlePg/>
          <w:bidi/>
          <w:rtlGutter/>
          <w:docGrid w:linePitch="360"/>
        </w:sectPr>
      </w:pPr>
    </w:p>
    <w:p w:rsidR="00515962" w:rsidRDefault="004F21A0" w:rsidP="00140CDF">
      <w:pPr>
        <w:jc w:val="center"/>
        <w:rPr>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A9229C3" wp14:editId="04590C37">
                <wp:simplePos x="0" y="0"/>
                <wp:positionH relativeFrom="column">
                  <wp:posOffset>-1037590</wp:posOffset>
                </wp:positionH>
                <wp:positionV relativeFrom="page">
                  <wp:posOffset>-36195</wp:posOffset>
                </wp:positionV>
                <wp:extent cx="9359900" cy="3350260"/>
                <wp:effectExtent l="0" t="0" r="0" b="2540"/>
                <wp:wrapNone/>
                <wp:docPr id="7" name="Rectangle 7"/>
                <wp:cNvGraphicFramePr/>
                <a:graphic xmlns:a="http://schemas.openxmlformats.org/drawingml/2006/main">
                  <a:graphicData uri="http://schemas.microsoft.com/office/word/2010/wordprocessingShape">
                    <wps:wsp>
                      <wps:cNvSpPr/>
                      <wps:spPr>
                        <a:xfrm>
                          <a:off x="0" y="0"/>
                          <a:ext cx="9359900" cy="335026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81.7pt;margin-top:-2.85pt;width:737pt;height:26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" o:allowincell="f" fillcolor="#f2f2f2" stroked="f" strokeweight="2pt">
                <w10:wrap anchory="page"/>
              </v:rect>
            </w:pict>
          </mc:Fallback>
        </mc:AlternateConten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8"/>
        <w:gridCol w:w="425"/>
        <w:gridCol w:w="1382"/>
        <w:gridCol w:w="567"/>
        <w:gridCol w:w="1278"/>
        <w:gridCol w:w="2410"/>
      </w:tblGrid>
      <w:tr w:rsidR="004F21A0" w:rsidRPr="00C50D4D" w:rsidTr="006A084B">
        <w:trPr>
          <w:jc w:val="center"/>
        </w:trPr>
        <w:tc>
          <w:tcPr>
            <w:tcW w:w="1149" w:type="pct"/>
            <w:vAlign w:val="center"/>
          </w:tcPr>
          <w:p w:rsidR="004F21A0" w:rsidRPr="00855B06" w:rsidRDefault="004F21A0" w:rsidP="00DD3D11">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w:t>
            </w:r>
            <w:r>
              <w:rPr>
                <w:rFonts w:ascii="IRMitra" w:hAnsi="IRMitra" w:cs="IRMitra" w:hint="cs"/>
                <w:b/>
                <w:bCs/>
                <w:sz w:val="27"/>
                <w:szCs w:val="27"/>
                <w:rtl/>
                <w:lang w:bidi="fa-IR"/>
              </w:rPr>
              <w:t>الكتاب</w:t>
            </w:r>
            <w:r w:rsidRPr="00855B06">
              <w:rPr>
                <w:rFonts w:ascii="IRMitra" w:hAnsi="IRMitra" w:cs="IRMitra" w:hint="cs"/>
                <w:b/>
                <w:bCs/>
                <w:sz w:val="27"/>
                <w:szCs w:val="27"/>
                <w:rtl/>
                <w:lang w:bidi="fa-IR"/>
              </w:rPr>
              <w:t>:</w:t>
            </w:r>
          </w:p>
        </w:tc>
        <w:tc>
          <w:tcPr>
            <w:tcW w:w="3851" w:type="pct"/>
            <w:gridSpan w:val="5"/>
            <w:vAlign w:val="center"/>
          </w:tcPr>
          <w:p w:rsidR="004F21A0" w:rsidRPr="004F21A0" w:rsidRDefault="004F21A0" w:rsidP="006A084B">
            <w:pPr>
              <w:spacing w:after="60"/>
              <w:rPr>
                <w:rFonts w:ascii="IRMitra" w:hAnsi="IRMitra" w:cs="IRMitra"/>
                <w:color w:val="244061" w:themeColor="accent1" w:themeShade="80"/>
                <w:sz w:val="30"/>
                <w:szCs w:val="30"/>
                <w:rtl/>
                <w:lang w:bidi="fa-IR"/>
              </w:rPr>
            </w:pPr>
            <w:r w:rsidRPr="004F21A0">
              <w:rPr>
                <w:rFonts w:ascii="IRMitra" w:hAnsi="IRMitra" w:cs="IRMitra" w:hint="cs"/>
                <w:color w:val="244061" w:themeColor="accent1" w:themeShade="80"/>
                <w:sz w:val="30"/>
                <w:szCs w:val="30"/>
                <w:rtl/>
                <w:lang w:bidi="fa-IR"/>
              </w:rPr>
              <w:t xml:space="preserve">ترجمة </w:t>
            </w:r>
            <w:r w:rsidR="006A084B">
              <w:rPr>
                <w:rFonts w:ascii="IRMitra" w:hAnsi="IRMitra" w:cs="IRMitra" w:hint="cs"/>
                <w:color w:val="244061" w:themeColor="accent1" w:themeShade="80"/>
                <w:sz w:val="30"/>
                <w:szCs w:val="30"/>
                <w:rtl/>
                <w:lang w:bidi="fa-IR"/>
              </w:rPr>
              <w:t xml:space="preserve">جزء من </w:t>
            </w:r>
            <w:r w:rsidRPr="004F21A0">
              <w:rPr>
                <w:rFonts w:ascii="IRMitra" w:hAnsi="IRMitra" w:cs="IRMitra" w:hint="cs"/>
                <w:color w:val="244061" w:themeColor="accent1" w:themeShade="80"/>
                <w:sz w:val="30"/>
                <w:szCs w:val="30"/>
                <w:rtl/>
                <w:lang w:bidi="fa-IR"/>
              </w:rPr>
              <w:t>کتاب (جریان‌ها و سازمان‌ها</w:t>
            </w:r>
            <w:r w:rsidR="006A084B">
              <w:rPr>
                <w:rFonts w:ascii="IRMitra" w:hAnsi="IRMitra" w:cs="IRMitra" w:hint="cs"/>
                <w:color w:val="244061" w:themeColor="accent1" w:themeShade="80"/>
                <w:sz w:val="30"/>
                <w:szCs w:val="30"/>
                <w:rtl/>
                <w:lang w:bidi="fa-IR"/>
              </w:rPr>
              <w:t>ي</w:t>
            </w:r>
            <w:r w:rsidRPr="004F21A0">
              <w:rPr>
                <w:rFonts w:ascii="IRMitra" w:hAnsi="IRMitra" w:cs="IRMitra" w:hint="cs"/>
                <w:color w:val="244061" w:themeColor="accent1" w:themeShade="80"/>
                <w:sz w:val="30"/>
                <w:szCs w:val="30"/>
                <w:rtl/>
                <w:lang w:bidi="fa-IR"/>
              </w:rPr>
              <w:t xml:space="preserve"> </w:t>
            </w:r>
            <w:r w:rsidR="006A084B">
              <w:rPr>
                <w:rFonts w:ascii="IRMitra" w:hAnsi="IRMitra" w:cs="IRMitra" w:hint="cs"/>
                <w:color w:val="244061" w:themeColor="accent1" w:themeShade="80"/>
                <w:sz w:val="30"/>
                <w:szCs w:val="30"/>
                <w:rtl/>
                <w:lang w:bidi="fa-IR"/>
              </w:rPr>
              <w:t xml:space="preserve">سياسي </w:t>
            </w:r>
            <w:r w:rsidRPr="004F21A0">
              <w:rPr>
                <w:rFonts w:ascii="IRMitra" w:hAnsi="IRMitra" w:cs="IRMitra" w:hint="cs"/>
                <w:color w:val="244061" w:themeColor="accent1" w:themeShade="80"/>
                <w:sz w:val="30"/>
                <w:szCs w:val="30"/>
                <w:rtl/>
                <w:lang w:bidi="fa-IR"/>
              </w:rPr>
              <w:t>مذهب</w:t>
            </w:r>
            <w:r w:rsidR="006A084B">
              <w:rPr>
                <w:rFonts w:ascii="IRMitra" w:hAnsi="IRMitra" w:cs="IRMitra" w:hint="cs"/>
                <w:color w:val="244061" w:themeColor="accent1" w:themeShade="80"/>
                <w:sz w:val="30"/>
                <w:szCs w:val="30"/>
                <w:rtl/>
                <w:lang w:bidi="fa-IR"/>
              </w:rPr>
              <w:t>ي</w:t>
            </w:r>
            <w:r w:rsidRPr="004F21A0">
              <w:rPr>
                <w:rFonts w:ascii="IRMitra" w:hAnsi="IRMitra" w:cs="IRMitra" w:hint="cs"/>
                <w:color w:val="244061" w:themeColor="accent1" w:themeShade="80"/>
                <w:sz w:val="30"/>
                <w:szCs w:val="30"/>
                <w:rtl/>
                <w:lang w:bidi="fa-IR"/>
              </w:rPr>
              <w:t xml:space="preserve"> ایران)</w:t>
            </w:r>
          </w:p>
        </w:tc>
      </w:tr>
      <w:tr w:rsidR="004F21A0" w:rsidRPr="00C50D4D" w:rsidTr="006A084B">
        <w:trPr>
          <w:jc w:val="center"/>
        </w:trPr>
        <w:tc>
          <w:tcPr>
            <w:tcW w:w="1149" w:type="pct"/>
            <w:vAlign w:val="center"/>
          </w:tcPr>
          <w:p w:rsidR="004F21A0" w:rsidRPr="00855B06" w:rsidRDefault="004F21A0" w:rsidP="00DD3D11">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المؤلف</w:t>
            </w:r>
            <w:r w:rsidRPr="00855B06">
              <w:rPr>
                <w:rFonts w:ascii="IRMitra" w:hAnsi="IRMitra" w:cs="IRMitra" w:hint="cs"/>
                <w:b/>
                <w:bCs/>
                <w:sz w:val="27"/>
                <w:szCs w:val="27"/>
                <w:rtl/>
                <w:lang w:bidi="fa-IR"/>
              </w:rPr>
              <w:t xml:space="preserve">: </w:t>
            </w:r>
          </w:p>
        </w:tc>
        <w:tc>
          <w:tcPr>
            <w:tcW w:w="3851" w:type="pct"/>
            <w:gridSpan w:val="5"/>
            <w:vAlign w:val="center"/>
          </w:tcPr>
          <w:p w:rsidR="004F21A0" w:rsidRPr="000A7258" w:rsidRDefault="004F21A0" w:rsidP="00DD3D11">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رسول جعفریان</w:t>
            </w:r>
          </w:p>
        </w:tc>
      </w:tr>
      <w:tr w:rsidR="004F21A0" w:rsidRPr="00C50D4D" w:rsidTr="006A084B">
        <w:trPr>
          <w:jc w:val="center"/>
        </w:trPr>
        <w:tc>
          <w:tcPr>
            <w:tcW w:w="1149" w:type="pct"/>
            <w:vAlign w:val="center"/>
          </w:tcPr>
          <w:p w:rsidR="004F21A0" w:rsidRPr="00855B06" w:rsidRDefault="004F21A0" w:rsidP="00DD3D11">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المترجم</w:t>
            </w:r>
            <w:r w:rsidRPr="00855B06">
              <w:rPr>
                <w:rFonts w:ascii="IRMitra" w:hAnsi="IRMitra" w:cs="IRMitra" w:hint="cs"/>
                <w:b/>
                <w:bCs/>
                <w:sz w:val="27"/>
                <w:szCs w:val="27"/>
                <w:rtl/>
                <w:lang w:bidi="fa-IR"/>
              </w:rPr>
              <w:t>:</w:t>
            </w:r>
          </w:p>
        </w:tc>
        <w:tc>
          <w:tcPr>
            <w:tcW w:w="3851" w:type="pct"/>
            <w:gridSpan w:val="5"/>
            <w:vAlign w:val="center"/>
          </w:tcPr>
          <w:p w:rsidR="004F21A0" w:rsidRPr="00855B06" w:rsidRDefault="006A084B" w:rsidP="00DD3D11">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د. </w:t>
            </w:r>
            <w:r w:rsidR="004F21A0">
              <w:rPr>
                <w:rFonts w:ascii="IRMitra" w:hAnsi="IRMitra" w:cs="IRMitra" w:hint="cs"/>
                <w:color w:val="244061" w:themeColor="accent1" w:themeShade="80"/>
                <w:sz w:val="30"/>
                <w:szCs w:val="30"/>
                <w:rtl/>
                <w:lang w:bidi="fa-IR"/>
              </w:rPr>
              <w:t>سعد رستم</w:t>
            </w:r>
          </w:p>
        </w:tc>
      </w:tr>
      <w:tr w:rsidR="004F21A0" w:rsidRPr="00C50D4D" w:rsidTr="006A084B">
        <w:trPr>
          <w:jc w:val="center"/>
        </w:trPr>
        <w:tc>
          <w:tcPr>
            <w:tcW w:w="1149" w:type="pct"/>
            <w:vAlign w:val="center"/>
          </w:tcPr>
          <w:p w:rsidR="004F21A0" w:rsidRPr="00855B06" w:rsidRDefault="004F21A0" w:rsidP="00DD3D11">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851" w:type="pct"/>
            <w:gridSpan w:val="5"/>
            <w:vAlign w:val="center"/>
          </w:tcPr>
          <w:p w:rsidR="004F21A0" w:rsidRPr="00855B06" w:rsidRDefault="004F21A0" w:rsidP="00DD3D11">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الإلكتروني</w:t>
            </w:r>
            <w:r w:rsidRPr="00855B06">
              <w:rPr>
                <w:rFonts w:ascii="IRMitra" w:hAnsi="IRMitra" w:cs="IRMitra" w:hint="cs"/>
                <w:color w:val="244061" w:themeColor="accent1" w:themeShade="80"/>
                <w:sz w:val="30"/>
                <w:szCs w:val="30"/>
                <w:rtl/>
                <w:lang w:bidi="fa-IR"/>
              </w:rPr>
              <w:t xml:space="preserve">) </w:t>
            </w:r>
          </w:p>
        </w:tc>
      </w:tr>
      <w:tr w:rsidR="004F21A0" w:rsidRPr="00C50D4D" w:rsidTr="006A084B">
        <w:trPr>
          <w:jc w:val="center"/>
        </w:trPr>
        <w:tc>
          <w:tcPr>
            <w:tcW w:w="1149" w:type="pct"/>
            <w:vAlign w:val="center"/>
          </w:tcPr>
          <w:p w:rsidR="004F21A0" w:rsidRPr="00855B06" w:rsidRDefault="004F21A0" w:rsidP="00DD3D11">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851" w:type="pct"/>
            <w:gridSpan w:val="5"/>
            <w:vAlign w:val="center"/>
          </w:tcPr>
          <w:p w:rsidR="004F21A0" w:rsidRPr="00855B06" w:rsidRDefault="004C289D" w:rsidP="006A084B">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جماد</w:t>
            </w:r>
            <w:r w:rsidR="006A084B">
              <w:rPr>
                <w:rFonts w:ascii="IRMitra" w:hAnsi="IRMitra" w:cs="IRMitra" w:hint="cs"/>
                <w:color w:val="244061" w:themeColor="accent1" w:themeShade="80"/>
                <w:sz w:val="30"/>
                <w:szCs w:val="30"/>
                <w:rtl/>
                <w:lang w:bidi="fa-IR"/>
              </w:rPr>
              <w:t>ي</w:t>
            </w:r>
            <w:r>
              <w:rPr>
                <w:rFonts w:ascii="IRMitra" w:hAnsi="IRMitra" w:cs="IRMitra" w:hint="cs"/>
                <w:color w:val="244061" w:themeColor="accent1" w:themeShade="80"/>
                <w:sz w:val="30"/>
                <w:szCs w:val="30"/>
                <w:rtl/>
                <w:lang w:bidi="fa-IR"/>
              </w:rPr>
              <w:t xml:space="preserve"> الأول </w:t>
            </w:r>
            <w:r w:rsidR="004F21A0" w:rsidRPr="00855B06">
              <w:rPr>
                <w:rFonts w:ascii="IRMitra" w:hAnsi="IRMitra" w:cs="IRMitra"/>
                <w:color w:val="244061" w:themeColor="accent1" w:themeShade="80"/>
                <w:sz w:val="30"/>
                <w:szCs w:val="30"/>
                <w:rtl/>
              </w:rPr>
              <w:t>1</w:t>
            </w:r>
            <w:r w:rsidR="004F21A0">
              <w:rPr>
                <w:rFonts w:ascii="IRMitra" w:hAnsi="IRMitra" w:cs="IRMitra"/>
                <w:color w:val="244061" w:themeColor="accent1" w:themeShade="80"/>
                <w:sz w:val="30"/>
                <w:szCs w:val="30"/>
                <w:rtl/>
              </w:rPr>
              <w:t xml:space="preserve">436 </w:t>
            </w:r>
            <w:r w:rsidR="004F21A0">
              <w:rPr>
                <w:rFonts w:ascii="IRMitra" w:hAnsi="IRMitra" w:cs="IRMitra" w:hint="cs"/>
                <w:color w:val="244061" w:themeColor="accent1" w:themeShade="80"/>
                <w:sz w:val="30"/>
                <w:szCs w:val="30"/>
                <w:rtl/>
              </w:rPr>
              <w:t>ال</w:t>
            </w:r>
            <w:r w:rsidR="004F21A0">
              <w:rPr>
                <w:rFonts w:ascii="IRMitra" w:hAnsi="IRMitra" w:cs="IRMitra"/>
                <w:color w:val="244061" w:themeColor="accent1" w:themeShade="80"/>
                <w:sz w:val="30"/>
                <w:szCs w:val="30"/>
                <w:rtl/>
              </w:rPr>
              <w:t>هجر</w:t>
            </w:r>
            <w:r w:rsidR="004F21A0">
              <w:rPr>
                <w:rFonts w:ascii="IRMitra" w:hAnsi="IRMitra" w:cs="IRMitra" w:hint="cs"/>
                <w:color w:val="244061" w:themeColor="accent1" w:themeShade="80"/>
                <w:sz w:val="30"/>
                <w:szCs w:val="30"/>
                <w:rtl/>
              </w:rPr>
              <w:t>ي</w:t>
            </w:r>
          </w:p>
        </w:tc>
      </w:tr>
      <w:tr w:rsidR="004F21A0" w:rsidRPr="00C50D4D" w:rsidTr="006A084B">
        <w:trPr>
          <w:trHeight w:val="258"/>
          <w:jc w:val="center"/>
        </w:trPr>
        <w:tc>
          <w:tcPr>
            <w:tcW w:w="1149" w:type="pct"/>
            <w:vAlign w:val="center"/>
          </w:tcPr>
          <w:p w:rsidR="004F21A0" w:rsidRPr="00855B06" w:rsidRDefault="004F21A0" w:rsidP="00DD3D11">
            <w:pPr>
              <w:spacing w:before="60" w:after="60"/>
              <w:rPr>
                <w:rFonts w:ascii="IRMitra" w:hAnsi="IRMitra" w:cs="IRMitra"/>
                <w:b/>
                <w:bCs/>
                <w:sz w:val="27"/>
                <w:szCs w:val="27"/>
                <w:rtl/>
                <w:lang w:bidi="fa-IR"/>
              </w:rPr>
            </w:pPr>
            <w:r>
              <w:rPr>
                <w:rFonts w:ascii="IRMitra" w:hAnsi="IRMitra" w:cs="IRMitra" w:hint="cs"/>
                <w:b/>
                <w:bCs/>
                <w:sz w:val="27"/>
                <w:szCs w:val="27"/>
                <w:rtl/>
                <w:lang w:bidi="fa-IR"/>
              </w:rPr>
              <w:t>المصدر</w:t>
            </w:r>
            <w:r w:rsidRPr="00855B06">
              <w:rPr>
                <w:rFonts w:ascii="IRMitra" w:hAnsi="IRMitra" w:cs="IRMitra" w:hint="cs"/>
                <w:b/>
                <w:bCs/>
                <w:sz w:val="27"/>
                <w:szCs w:val="27"/>
                <w:rtl/>
                <w:lang w:bidi="fa-IR"/>
              </w:rPr>
              <w:t xml:space="preserve">: </w:t>
            </w:r>
          </w:p>
        </w:tc>
        <w:tc>
          <w:tcPr>
            <w:tcW w:w="3851" w:type="pct"/>
            <w:gridSpan w:val="5"/>
            <w:vAlign w:val="center"/>
          </w:tcPr>
          <w:p w:rsidR="004F21A0" w:rsidRPr="00855B06" w:rsidRDefault="006A084B" w:rsidP="006A084B">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موقع</w:t>
            </w:r>
            <w:r w:rsidR="004F21A0">
              <w:rPr>
                <w:rFonts w:ascii="IRMitra" w:hAnsi="IRMitra" w:cs="IRMitra" w:hint="cs"/>
                <w:color w:val="244061" w:themeColor="accent1" w:themeShade="80"/>
                <w:sz w:val="30"/>
                <w:szCs w:val="30"/>
                <w:rtl/>
                <w:lang w:bidi="fa-IR"/>
              </w:rPr>
              <w:t xml:space="preserve"> العقیدة</w:t>
            </w:r>
            <w:r>
              <w:rPr>
                <w:rFonts w:ascii="IRMitra" w:hAnsi="IRMitra" w:cs="IRMitra" w:hint="cs"/>
                <w:color w:val="244061" w:themeColor="accent1" w:themeShade="80"/>
                <w:sz w:val="30"/>
                <w:szCs w:val="30"/>
                <w:rtl/>
                <w:lang w:bidi="fa-IR"/>
              </w:rPr>
              <w:t xml:space="preserve"> </w:t>
            </w:r>
          </w:p>
        </w:tc>
      </w:tr>
      <w:tr w:rsidR="004F21A0" w:rsidRPr="00EA1553" w:rsidTr="006A084B">
        <w:trPr>
          <w:jc w:val="center"/>
        </w:trPr>
        <w:tc>
          <w:tcPr>
            <w:tcW w:w="1149" w:type="pct"/>
            <w:vAlign w:val="center"/>
          </w:tcPr>
          <w:p w:rsidR="004F21A0" w:rsidRPr="00EA1553" w:rsidRDefault="004F21A0" w:rsidP="00DD3D11">
            <w:pPr>
              <w:spacing w:before="60" w:after="60"/>
              <w:rPr>
                <w:rFonts w:ascii="IRMitra" w:hAnsi="IRMitra" w:cs="IRMitra"/>
                <w:b/>
                <w:bCs/>
                <w:sz w:val="13"/>
                <w:szCs w:val="13"/>
                <w:rtl/>
                <w:lang w:bidi="fa-IR"/>
              </w:rPr>
            </w:pPr>
          </w:p>
        </w:tc>
        <w:tc>
          <w:tcPr>
            <w:tcW w:w="3851" w:type="pct"/>
            <w:gridSpan w:val="5"/>
            <w:vAlign w:val="center"/>
          </w:tcPr>
          <w:p w:rsidR="004F21A0" w:rsidRPr="00EA1553" w:rsidRDefault="004F21A0" w:rsidP="00DD3D11">
            <w:pPr>
              <w:spacing w:before="60" w:after="60"/>
              <w:rPr>
                <w:rFonts w:ascii="IRMitra" w:hAnsi="IRMitra" w:cs="IRMitra"/>
                <w:color w:val="244061" w:themeColor="accent1" w:themeShade="80"/>
                <w:sz w:val="13"/>
                <w:szCs w:val="13"/>
                <w:rtl/>
                <w:lang w:bidi="fa-IR"/>
              </w:rPr>
            </w:pPr>
          </w:p>
        </w:tc>
      </w:tr>
      <w:tr w:rsidR="004F21A0" w:rsidRPr="00C50D4D" w:rsidTr="00DD3D11">
        <w:trPr>
          <w:jc w:val="center"/>
        </w:trPr>
        <w:tc>
          <w:tcPr>
            <w:tcW w:w="3469" w:type="pct"/>
            <w:gridSpan w:val="5"/>
            <w:vAlign w:val="center"/>
          </w:tcPr>
          <w:p w:rsidR="004F21A0" w:rsidRPr="00AA082B" w:rsidRDefault="004F21A0" w:rsidP="00DD3D11">
            <w:pPr>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تم تنزيل هذا الكتاب من موقع العقيدة</w:t>
            </w:r>
            <w:r w:rsidRPr="00AA082B">
              <w:rPr>
                <w:rFonts w:cs="IRNazanin"/>
                <w:b/>
                <w:bCs/>
                <w:color w:val="244061" w:themeColor="accent1" w:themeShade="80"/>
                <w:szCs w:val="28"/>
                <w:rtl/>
                <w:lang w:bidi="fa-IR"/>
              </w:rPr>
              <w:t>.</w:t>
            </w:r>
          </w:p>
          <w:p w:rsidR="004F21A0" w:rsidRPr="00855B06" w:rsidRDefault="004F21A0" w:rsidP="00DD3D11">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4F21A0" w:rsidRPr="00855B06" w:rsidRDefault="004F21A0" w:rsidP="00DD3D1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12B3C65" wp14:editId="52B8CEE6">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F21A0" w:rsidRPr="00C50D4D" w:rsidTr="006A084B">
        <w:trPr>
          <w:jc w:val="center"/>
        </w:trPr>
        <w:tc>
          <w:tcPr>
            <w:tcW w:w="1419" w:type="pct"/>
            <w:gridSpan w:val="2"/>
            <w:vAlign w:val="center"/>
          </w:tcPr>
          <w:p w:rsidR="004F21A0" w:rsidRPr="00855B06" w:rsidRDefault="004F21A0" w:rsidP="00DD3D11">
            <w:pPr>
              <w:spacing w:before="60" w:after="60"/>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581" w:type="pct"/>
            <w:gridSpan w:val="4"/>
            <w:vAlign w:val="center"/>
          </w:tcPr>
          <w:p w:rsidR="004F21A0" w:rsidRPr="00855B06" w:rsidRDefault="004F21A0" w:rsidP="00DD3D11">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F21A0" w:rsidRPr="00C50D4D" w:rsidTr="00DD3D11">
        <w:trPr>
          <w:jc w:val="center"/>
        </w:trPr>
        <w:tc>
          <w:tcPr>
            <w:tcW w:w="5000" w:type="pct"/>
            <w:gridSpan w:val="6"/>
            <w:vAlign w:val="bottom"/>
          </w:tcPr>
          <w:p w:rsidR="004F21A0" w:rsidRPr="00855B06" w:rsidRDefault="004F21A0" w:rsidP="00DD3D11">
            <w:pPr>
              <w:spacing w:before="360" w:after="60"/>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4F21A0" w:rsidRPr="00C50D4D" w:rsidTr="00DD3D11">
        <w:trPr>
          <w:jc w:val="center"/>
        </w:trPr>
        <w:tc>
          <w:tcPr>
            <w:tcW w:w="2297" w:type="pct"/>
            <w:gridSpan w:val="3"/>
            <w:shd w:val="clear" w:color="auto" w:fill="auto"/>
          </w:tcPr>
          <w:p w:rsidR="004F21A0" w:rsidRPr="00AA082B" w:rsidRDefault="004F21A0" w:rsidP="004F21A0">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4F21A0" w:rsidRPr="00AA082B" w:rsidRDefault="004F21A0" w:rsidP="004F21A0">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4F21A0" w:rsidRDefault="004F21A0" w:rsidP="004F21A0">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4F21A0" w:rsidRPr="00855B06" w:rsidRDefault="004F21A0" w:rsidP="004F21A0">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F21A0" w:rsidRPr="00855B06" w:rsidRDefault="004F21A0" w:rsidP="004F21A0">
            <w:pPr>
              <w:spacing w:before="60" w:after="60"/>
              <w:jc w:val="right"/>
              <w:rPr>
                <w:rFonts w:ascii="IRMitra" w:hAnsi="IRMitra" w:cs="IRMitra"/>
                <w:color w:val="244061" w:themeColor="accent1" w:themeShade="80"/>
                <w:sz w:val="30"/>
                <w:szCs w:val="30"/>
                <w:rtl/>
                <w:lang w:bidi="fa-IR"/>
              </w:rPr>
            </w:pPr>
          </w:p>
        </w:tc>
        <w:tc>
          <w:tcPr>
            <w:tcW w:w="2343" w:type="pct"/>
            <w:gridSpan w:val="2"/>
          </w:tcPr>
          <w:p w:rsidR="004F21A0" w:rsidRPr="00AA082B" w:rsidRDefault="004F21A0" w:rsidP="004F21A0">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4F21A0" w:rsidRPr="00AA082B" w:rsidRDefault="004F21A0" w:rsidP="004F21A0">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4F21A0" w:rsidRPr="004F21A0" w:rsidRDefault="00E11272" w:rsidP="004F21A0">
            <w:pPr>
              <w:widowControl w:val="0"/>
              <w:tabs>
                <w:tab w:val="right" w:leader="dot" w:pos="5138"/>
              </w:tabs>
              <w:spacing w:before="60" w:after="60"/>
              <w:jc w:val="right"/>
              <w:rPr>
                <w:rFonts w:ascii="Literata" w:hAnsi="Literata" w:cs="Times New Roman"/>
                <w:sz w:val="24"/>
                <w:szCs w:val="24"/>
              </w:rPr>
            </w:pPr>
            <w:hyperlink r:id="rId12" w:history="1">
              <w:r w:rsidR="004F21A0" w:rsidRPr="004F21A0">
                <w:rPr>
                  <w:rStyle w:val="Hyperlink"/>
                  <w:rFonts w:ascii="Literata" w:hAnsi="Literata"/>
                  <w:color w:val="auto"/>
                  <w:sz w:val="24"/>
                  <w:szCs w:val="24"/>
                  <w:u w:val="none"/>
                </w:rPr>
                <w:t>www.shabnam.cc</w:t>
              </w:r>
            </w:hyperlink>
          </w:p>
          <w:p w:rsidR="004F21A0" w:rsidRPr="00855B06" w:rsidRDefault="004F21A0" w:rsidP="004F21A0">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F21A0" w:rsidRPr="00EA1553" w:rsidTr="00DD3D11">
        <w:trPr>
          <w:jc w:val="center"/>
        </w:trPr>
        <w:tc>
          <w:tcPr>
            <w:tcW w:w="2297" w:type="pct"/>
            <w:gridSpan w:val="3"/>
          </w:tcPr>
          <w:p w:rsidR="004F21A0" w:rsidRPr="00FE55C3" w:rsidRDefault="004F21A0" w:rsidP="00DD3D11">
            <w:pPr>
              <w:spacing w:before="60" w:after="60"/>
              <w:rPr>
                <w:rFonts w:ascii="IRMitra" w:hAnsi="IRMitra" w:cs="IRMitra"/>
                <w:b/>
                <w:bCs/>
                <w:sz w:val="2"/>
                <w:szCs w:val="2"/>
                <w:rtl/>
                <w:lang w:bidi="fa-IR"/>
              </w:rPr>
            </w:pPr>
          </w:p>
        </w:tc>
        <w:tc>
          <w:tcPr>
            <w:tcW w:w="2703" w:type="pct"/>
            <w:gridSpan w:val="3"/>
          </w:tcPr>
          <w:p w:rsidR="004F21A0" w:rsidRPr="00FE55C3" w:rsidRDefault="004F21A0" w:rsidP="00DD3D11">
            <w:pPr>
              <w:spacing w:before="60" w:after="60"/>
              <w:rPr>
                <w:rFonts w:ascii="IRMitra" w:hAnsi="IRMitra" w:cs="IRMitra"/>
                <w:color w:val="244061" w:themeColor="accent1" w:themeShade="80"/>
                <w:sz w:val="2"/>
                <w:szCs w:val="2"/>
                <w:rtl/>
                <w:lang w:bidi="fa-IR"/>
              </w:rPr>
            </w:pPr>
          </w:p>
        </w:tc>
      </w:tr>
      <w:tr w:rsidR="004F21A0" w:rsidRPr="00C50D4D" w:rsidTr="00DD3D11">
        <w:trPr>
          <w:jc w:val="center"/>
        </w:trPr>
        <w:tc>
          <w:tcPr>
            <w:tcW w:w="5000" w:type="pct"/>
            <w:gridSpan w:val="6"/>
          </w:tcPr>
          <w:p w:rsidR="004F21A0" w:rsidRPr="00855B06" w:rsidRDefault="004F21A0" w:rsidP="00DD3D1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6E63017" wp14:editId="17CF905D">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F21A0" w:rsidRPr="00C50D4D" w:rsidTr="00DD3D11">
        <w:trPr>
          <w:jc w:val="center"/>
        </w:trPr>
        <w:tc>
          <w:tcPr>
            <w:tcW w:w="5000" w:type="pct"/>
            <w:gridSpan w:val="6"/>
            <w:vAlign w:val="center"/>
          </w:tcPr>
          <w:p w:rsidR="004F21A0" w:rsidRDefault="004F21A0" w:rsidP="00DD3D11">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F21A0" w:rsidRPr="00EA1553" w:rsidTr="00DD3D11">
        <w:trPr>
          <w:jc w:val="center"/>
        </w:trPr>
        <w:tc>
          <w:tcPr>
            <w:tcW w:w="2297" w:type="pct"/>
            <w:gridSpan w:val="3"/>
          </w:tcPr>
          <w:p w:rsidR="004F21A0" w:rsidRPr="00FE55C3" w:rsidRDefault="004F21A0" w:rsidP="00DD3D11">
            <w:pPr>
              <w:spacing w:before="60" w:after="60"/>
              <w:rPr>
                <w:rFonts w:ascii="IRMitra" w:hAnsi="IRMitra" w:cs="IRMitra"/>
                <w:b/>
                <w:bCs/>
                <w:sz w:val="2"/>
                <w:szCs w:val="2"/>
                <w:rtl/>
                <w:lang w:bidi="fa-IR"/>
              </w:rPr>
            </w:pPr>
          </w:p>
        </w:tc>
        <w:tc>
          <w:tcPr>
            <w:tcW w:w="2703" w:type="pct"/>
            <w:gridSpan w:val="3"/>
          </w:tcPr>
          <w:p w:rsidR="004F21A0" w:rsidRPr="00FE55C3" w:rsidRDefault="004F21A0" w:rsidP="00DD3D11">
            <w:pPr>
              <w:spacing w:before="60" w:after="60"/>
              <w:rPr>
                <w:rFonts w:ascii="IRMitra" w:hAnsi="IRMitra" w:cs="IRMitra"/>
                <w:color w:val="244061" w:themeColor="accent1" w:themeShade="80"/>
                <w:sz w:val="2"/>
                <w:szCs w:val="2"/>
                <w:rtl/>
                <w:lang w:bidi="fa-IR"/>
              </w:rPr>
            </w:pPr>
          </w:p>
        </w:tc>
      </w:tr>
    </w:tbl>
    <w:p w:rsidR="00140CDF" w:rsidRDefault="00140CDF" w:rsidP="00140CDF">
      <w:pPr>
        <w:jc w:val="center"/>
        <w:rPr>
          <w:b/>
          <w:bCs/>
          <w:rtl/>
        </w:rPr>
        <w:sectPr w:rsidR="00140CDF" w:rsidSect="00140CDF">
          <w:footnotePr>
            <w:numRestart w:val="eachPage"/>
          </w:footnotePr>
          <w:pgSz w:w="9356" w:h="13608" w:code="1"/>
          <w:pgMar w:top="1021" w:right="851" w:bottom="737" w:left="851" w:header="454" w:footer="0" w:gutter="0"/>
          <w:pgNumType w:fmt="numberInDash"/>
          <w:cols w:space="720"/>
          <w:titlePg/>
          <w:bidi/>
          <w:rtlGutter/>
          <w:docGrid w:linePitch="360"/>
        </w:sectPr>
      </w:pPr>
    </w:p>
    <w:p w:rsidR="004208F4" w:rsidRDefault="004208F4" w:rsidP="00DA6CFB">
      <w:pPr>
        <w:pStyle w:val="1"/>
        <w:rPr>
          <w:rtl/>
        </w:rPr>
      </w:pPr>
      <w:bookmarkStart w:id="1" w:name="_Toc444006439"/>
      <w:bookmarkStart w:id="2" w:name="_Toc444083794"/>
      <w:bookmarkStart w:id="3" w:name="OLE_LINK1"/>
      <w:bookmarkStart w:id="4" w:name="OLE_LINK2"/>
      <w:bookmarkStart w:id="5" w:name="OLE_LINK3"/>
      <w:r>
        <w:rPr>
          <w:rFonts w:hint="cs"/>
          <w:rtl/>
        </w:rPr>
        <w:lastRenderedPageBreak/>
        <w:t>الفهرس</w:t>
      </w:r>
      <w:bookmarkEnd w:id="1"/>
      <w:bookmarkEnd w:id="2"/>
    </w:p>
    <w:p w:rsidR="00153E41" w:rsidRDefault="004208F4">
      <w:pPr>
        <w:pStyle w:val="TOC1"/>
        <w:tabs>
          <w:tab w:val="right" w:leader="dot" w:pos="7644"/>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"العنوان 1,1,العنوان 3,3,العنوان 2,2" </w:instrText>
      </w:r>
      <w:r>
        <w:rPr>
          <w:rtl/>
        </w:rPr>
        <w:fldChar w:fldCharType="separate"/>
      </w:r>
      <w:hyperlink w:anchor="_Toc444083794" w:history="1">
        <w:r w:rsidR="00153E41" w:rsidRPr="0078527D">
          <w:rPr>
            <w:rStyle w:val="Hyperlink"/>
            <w:rFonts w:hint="eastAsia"/>
            <w:noProof/>
            <w:rtl/>
          </w:rPr>
          <w:t>الفهرس</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Toc444083794 \h</w:instrText>
        </w:r>
        <w:r w:rsidR="00153E41">
          <w:rPr>
            <w:noProof/>
            <w:webHidden/>
            <w:rtl/>
          </w:rPr>
          <w:instrText xml:space="preserve"> </w:instrText>
        </w:r>
        <w:r w:rsidR="00153E41">
          <w:rPr>
            <w:noProof/>
            <w:webHidden/>
            <w:rtl/>
          </w:rPr>
        </w:r>
        <w:r w:rsidR="00153E41">
          <w:rPr>
            <w:noProof/>
            <w:webHidden/>
            <w:rtl/>
          </w:rPr>
          <w:fldChar w:fldCharType="separate"/>
        </w:r>
        <w:r w:rsidR="00341A38">
          <w:rPr>
            <w:rFonts w:hint="cs"/>
            <w:noProof/>
            <w:webHidden/>
            <w:rtl/>
          </w:rPr>
          <w:t>‌أ</w:t>
        </w:r>
        <w:r w:rsidR="00153E41">
          <w:rPr>
            <w:noProof/>
            <w:webHidden/>
            <w:rtl/>
          </w:rPr>
          <w:fldChar w:fldCharType="end"/>
        </w:r>
      </w:hyperlink>
    </w:p>
    <w:p w:rsidR="00153E41" w:rsidRDefault="00E11272">
      <w:pPr>
        <w:pStyle w:val="TOC1"/>
        <w:tabs>
          <w:tab w:val="right" w:leader="dot" w:pos="7644"/>
        </w:tabs>
        <w:rPr>
          <w:rFonts w:asciiTheme="minorHAnsi" w:eastAsiaTheme="minorEastAsia" w:hAnsiTheme="minorHAnsi" w:cstheme="minorBidi"/>
          <w:noProof/>
          <w:sz w:val="22"/>
          <w:szCs w:val="22"/>
          <w:rtl/>
        </w:rPr>
      </w:pPr>
      <w:hyperlink w:anchor="_Toc444083795" w:history="1">
        <w:r w:rsidR="00153E41" w:rsidRPr="0078527D">
          <w:rPr>
            <w:rStyle w:val="Hyperlink"/>
            <w:rFonts w:hint="eastAsia"/>
            <w:noProof/>
            <w:rtl/>
          </w:rPr>
          <w:t>المقدمة</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Toc444083795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w:t>
        </w:r>
        <w:r w:rsidR="00153E41">
          <w:rPr>
            <w:noProof/>
            <w:webHidden/>
            <w:rtl/>
          </w:rPr>
          <w:fldChar w:fldCharType="end"/>
        </w:r>
      </w:hyperlink>
    </w:p>
    <w:p w:rsidR="00153E41" w:rsidRDefault="00E11272">
      <w:pPr>
        <w:pStyle w:val="TOC1"/>
        <w:tabs>
          <w:tab w:val="right" w:leader="dot" w:pos="7644"/>
        </w:tabs>
        <w:rPr>
          <w:rFonts w:asciiTheme="minorHAnsi" w:eastAsiaTheme="minorEastAsia" w:hAnsiTheme="minorHAnsi" w:cstheme="minorBidi"/>
          <w:noProof/>
          <w:sz w:val="22"/>
          <w:szCs w:val="22"/>
          <w:rtl/>
        </w:rPr>
      </w:pPr>
      <w:hyperlink w:anchor="_Toc444083796" w:history="1">
        <w:r w:rsidR="00153E41" w:rsidRPr="0078527D">
          <w:rPr>
            <w:rStyle w:val="Hyperlink"/>
            <w:rFonts w:hint="eastAsia"/>
            <w:noProof/>
            <w:rtl/>
          </w:rPr>
          <w:t>نبذة</w:t>
        </w:r>
        <w:r w:rsidR="00153E41" w:rsidRPr="0078527D">
          <w:rPr>
            <w:rStyle w:val="Hyperlink"/>
            <w:noProof/>
            <w:rtl/>
          </w:rPr>
          <w:t xml:space="preserve"> </w:t>
        </w:r>
        <w:r w:rsidR="00153E41" w:rsidRPr="0078527D">
          <w:rPr>
            <w:rStyle w:val="Hyperlink"/>
            <w:rFonts w:hint="eastAsia"/>
            <w:noProof/>
            <w:rtl/>
          </w:rPr>
          <w:t>عن</w:t>
        </w:r>
        <w:r w:rsidR="00153E41" w:rsidRPr="0078527D">
          <w:rPr>
            <w:rStyle w:val="Hyperlink"/>
            <w:noProof/>
            <w:rtl/>
          </w:rPr>
          <w:t xml:space="preserve"> </w:t>
        </w:r>
        <w:r w:rsidR="00153E41" w:rsidRPr="0078527D">
          <w:rPr>
            <w:rStyle w:val="Hyperlink"/>
            <w:rFonts w:hint="eastAsia"/>
            <w:noProof/>
            <w:rtl/>
          </w:rPr>
          <w:t>رسول</w:t>
        </w:r>
        <w:r w:rsidR="00153E41" w:rsidRPr="0078527D">
          <w:rPr>
            <w:rStyle w:val="Hyperlink"/>
            <w:noProof/>
            <w:rtl/>
          </w:rPr>
          <w:t xml:space="preserve"> </w:t>
        </w:r>
        <w:r w:rsidR="00153E41" w:rsidRPr="0078527D">
          <w:rPr>
            <w:rStyle w:val="Hyperlink"/>
            <w:rFonts w:hint="eastAsia"/>
            <w:noProof/>
            <w:rtl/>
          </w:rPr>
          <w:t>جعفريان</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Toc444083796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9</w:t>
        </w:r>
        <w:r w:rsidR="00153E41">
          <w:rPr>
            <w:noProof/>
            <w:webHidden/>
            <w:rtl/>
          </w:rPr>
          <w:fldChar w:fldCharType="end"/>
        </w:r>
      </w:hyperlink>
    </w:p>
    <w:p w:rsidR="00153E41" w:rsidRDefault="00E11272">
      <w:pPr>
        <w:pStyle w:val="TOC1"/>
        <w:tabs>
          <w:tab w:val="right" w:leader="dot" w:pos="7644"/>
        </w:tabs>
        <w:rPr>
          <w:rFonts w:asciiTheme="minorHAnsi" w:eastAsiaTheme="minorEastAsia" w:hAnsiTheme="minorHAnsi" w:cstheme="minorBidi"/>
          <w:noProof/>
          <w:sz w:val="22"/>
          <w:szCs w:val="22"/>
          <w:rtl/>
        </w:rPr>
      </w:pPr>
      <w:hyperlink w:anchor="_Toc444083797" w:history="1">
        <w:r w:rsidR="00153E41" w:rsidRPr="0078527D">
          <w:rPr>
            <w:rStyle w:val="Hyperlink"/>
            <w:rFonts w:hint="eastAsia"/>
            <w:noProof/>
            <w:rtl/>
          </w:rPr>
          <w:t>الفصل</w:t>
        </w:r>
        <w:r w:rsidR="00153E41" w:rsidRPr="0078527D">
          <w:rPr>
            <w:rStyle w:val="Hyperlink"/>
            <w:noProof/>
            <w:rtl/>
          </w:rPr>
          <w:t xml:space="preserve"> </w:t>
        </w:r>
        <w:r w:rsidR="00153E41" w:rsidRPr="0078527D">
          <w:rPr>
            <w:rStyle w:val="Hyperlink"/>
            <w:rFonts w:hint="eastAsia"/>
            <w:noProof/>
            <w:rtl/>
          </w:rPr>
          <w:t>الأول</w:t>
        </w:r>
        <w:r w:rsidR="00153E41" w:rsidRPr="0078527D">
          <w:rPr>
            <w:rStyle w:val="Hyperlink"/>
            <w:noProof/>
            <w:rtl/>
          </w:rPr>
          <w:t xml:space="preserve">: </w:t>
        </w:r>
        <w:r w:rsidR="00153E41" w:rsidRPr="0078527D">
          <w:rPr>
            <w:rStyle w:val="Hyperlink"/>
            <w:rFonts w:hint="eastAsia"/>
            <w:noProof/>
            <w:rtl/>
          </w:rPr>
          <w:t>عودة</w:t>
        </w:r>
        <w:r w:rsidR="00153E41" w:rsidRPr="0078527D">
          <w:rPr>
            <w:rStyle w:val="Hyperlink"/>
            <w:noProof/>
            <w:rtl/>
          </w:rPr>
          <w:t xml:space="preserve"> </w:t>
        </w:r>
        <w:r w:rsidR="00153E41" w:rsidRPr="0078527D">
          <w:rPr>
            <w:rStyle w:val="Hyperlink"/>
            <w:rFonts w:hint="eastAsia"/>
            <w:noProof/>
            <w:rtl/>
          </w:rPr>
          <w:t>الدين</w:t>
        </w:r>
        <w:r w:rsidR="00153E41" w:rsidRPr="0078527D">
          <w:rPr>
            <w:rStyle w:val="Hyperlink"/>
            <w:noProof/>
            <w:rtl/>
          </w:rPr>
          <w:t xml:space="preserve"> </w:t>
        </w:r>
        <w:r w:rsidR="00153E41" w:rsidRPr="0078527D">
          <w:rPr>
            <w:rStyle w:val="Hyperlink"/>
            <w:rFonts w:hint="eastAsia"/>
            <w:noProof/>
            <w:rtl/>
          </w:rPr>
          <w:t>إلى</w:t>
        </w:r>
        <w:r w:rsidR="00153E41" w:rsidRPr="0078527D">
          <w:rPr>
            <w:rStyle w:val="Hyperlink"/>
            <w:noProof/>
            <w:rtl/>
          </w:rPr>
          <w:t xml:space="preserve"> </w:t>
        </w:r>
        <w:r w:rsidR="00153E41" w:rsidRPr="0078527D">
          <w:rPr>
            <w:rStyle w:val="Hyperlink"/>
            <w:rFonts w:hint="eastAsia"/>
            <w:noProof/>
            <w:rtl/>
          </w:rPr>
          <w:t>المجتمع</w:t>
        </w:r>
        <w:r w:rsidR="00153E41" w:rsidRPr="0078527D">
          <w:rPr>
            <w:rStyle w:val="Hyperlink"/>
            <w:noProof/>
            <w:rtl/>
          </w:rPr>
          <w:t xml:space="preserve"> </w:t>
        </w:r>
        <w:r w:rsidR="00153E41" w:rsidRPr="0078527D">
          <w:rPr>
            <w:rStyle w:val="Hyperlink"/>
            <w:rFonts w:hint="eastAsia"/>
            <w:noProof/>
            <w:rtl/>
          </w:rPr>
          <w:t>والمسرح</w:t>
        </w:r>
        <w:r w:rsidR="00153E41" w:rsidRPr="0078527D">
          <w:rPr>
            <w:rStyle w:val="Hyperlink"/>
            <w:noProof/>
            <w:rtl/>
          </w:rPr>
          <w:t xml:space="preserve"> </w:t>
        </w:r>
        <w:r w:rsidR="00153E41" w:rsidRPr="0078527D">
          <w:rPr>
            <w:rStyle w:val="Hyperlink"/>
            <w:rFonts w:hint="eastAsia"/>
            <w:noProof/>
            <w:rtl/>
          </w:rPr>
          <w:t>السياسي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Toc444083797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11</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798" w:history="1">
        <w:r w:rsidR="00153E41" w:rsidRPr="0078527D">
          <w:rPr>
            <w:rStyle w:val="Hyperlink"/>
            <w:noProof/>
            <w:rtl/>
          </w:rPr>
          <w:t xml:space="preserve">1. </w:t>
        </w:r>
        <w:r w:rsidR="00153E41" w:rsidRPr="0078527D">
          <w:rPr>
            <w:rStyle w:val="Hyperlink"/>
            <w:rFonts w:hint="eastAsia"/>
            <w:noProof/>
            <w:rtl/>
          </w:rPr>
          <w:t>عودة</w:t>
        </w:r>
        <w:r w:rsidR="00153E41" w:rsidRPr="0078527D">
          <w:rPr>
            <w:rStyle w:val="Hyperlink"/>
            <w:noProof/>
            <w:rtl/>
          </w:rPr>
          <w:t xml:space="preserve"> </w:t>
        </w:r>
        <w:r w:rsidR="00153E41" w:rsidRPr="0078527D">
          <w:rPr>
            <w:rStyle w:val="Hyperlink"/>
            <w:rFonts w:hint="eastAsia"/>
            <w:noProof/>
            <w:rtl/>
          </w:rPr>
          <w:t>نشاط</w:t>
        </w:r>
        <w:r w:rsidR="00153E41" w:rsidRPr="0078527D">
          <w:rPr>
            <w:rStyle w:val="Hyperlink"/>
            <w:noProof/>
            <w:rtl/>
          </w:rPr>
          <w:t xml:space="preserve"> </w:t>
        </w:r>
        <w:r w:rsidR="00153E41" w:rsidRPr="0078527D">
          <w:rPr>
            <w:rStyle w:val="Hyperlink"/>
            <w:rFonts w:hint="eastAsia"/>
            <w:noProof/>
            <w:rtl/>
          </w:rPr>
          <w:t>التيارات</w:t>
        </w:r>
        <w:r w:rsidR="00153E41" w:rsidRPr="0078527D">
          <w:rPr>
            <w:rStyle w:val="Hyperlink"/>
            <w:noProof/>
            <w:rtl/>
          </w:rPr>
          <w:t xml:space="preserve"> </w:t>
        </w:r>
        <w:r w:rsidR="00153E41" w:rsidRPr="0078527D">
          <w:rPr>
            <w:rStyle w:val="Hyperlink"/>
            <w:rFonts w:hint="eastAsia"/>
            <w:noProof/>
            <w:rtl/>
          </w:rPr>
          <w:t>الدينية</w:t>
        </w:r>
        <w:r w:rsidR="00153E41" w:rsidRPr="0078527D">
          <w:rPr>
            <w:rStyle w:val="Hyperlink"/>
            <w:noProof/>
            <w:rtl/>
          </w:rPr>
          <w:t xml:space="preserve"> </w:t>
        </w:r>
        <w:r w:rsidR="00153E41" w:rsidRPr="0078527D">
          <w:rPr>
            <w:rStyle w:val="Hyperlink"/>
            <w:rFonts w:hint="eastAsia"/>
            <w:noProof/>
            <w:rtl/>
          </w:rPr>
          <w:t>في</w:t>
        </w:r>
        <w:r w:rsidR="00153E41" w:rsidRPr="0078527D">
          <w:rPr>
            <w:rStyle w:val="Hyperlink"/>
            <w:noProof/>
            <w:rtl/>
          </w:rPr>
          <w:t xml:space="preserve"> </w:t>
        </w:r>
        <w:r w:rsidR="00153E41" w:rsidRPr="0078527D">
          <w:rPr>
            <w:rStyle w:val="Hyperlink"/>
            <w:rFonts w:hint="eastAsia"/>
            <w:noProof/>
            <w:rtl/>
          </w:rPr>
          <w:t>عقدي</w:t>
        </w:r>
        <w:r w:rsidR="00153E41" w:rsidRPr="0078527D">
          <w:rPr>
            <w:rStyle w:val="Hyperlink"/>
            <w:noProof/>
            <w:rtl/>
          </w:rPr>
          <w:t xml:space="preserve"> </w:t>
        </w:r>
        <w:r w:rsidR="00153E41" w:rsidRPr="0078527D">
          <w:rPr>
            <w:rStyle w:val="Hyperlink"/>
            <w:rFonts w:hint="eastAsia"/>
            <w:noProof/>
            <w:rtl/>
          </w:rPr>
          <w:t>العشرينيات</w:t>
        </w:r>
        <w:r w:rsidR="00153E41" w:rsidRPr="0078527D">
          <w:rPr>
            <w:rStyle w:val="Hyperlink"/>
            <w:noProof/>
            <w:rtl/>
          </w:rPr>
          <w:t xml:space="preserve"> </w:t>
        </w:r>
        <w:r w:rsidR="00153E41" w:rsidRPr="0078527D">
          <w:rPr>
            <w:rStyle w:val="Hyperlink"/>
            <w:rFonts w:hint="eastAsia"/>
            <w:noProof/>
            <w:rtl/>
          </w:rPr>
          <w:t>والثلاثينيات</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Toc444083798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11</w:t>
        </w:r>
        <w:r w:rsidR="00153E41">
          <w:rPr>
            <w:noProof/>
            <w:webHidden/>
            <w:rtl/>
          </w:rPr>
          <w:fldChar w:fldCharType="end"/>
        </w:r>
      </w:hyperlink>
    </w:p>
    <w:p w:rsidR="00153E41" w:rsidRDefault="00E11272">
      <w:pPr>
        <w:pStyle w:val="TOC3"/>
        <w:tabs>
          <w:tab w:val="right" w:leader="dot" w:pos="7644"/>
        </w:tabs>
        <w:rPr>
          <w:rFonts w:asciiTheme="minorHAnsi" w:eastAsiaTheme="minorEastAsia" w:hAnsiTheme="minorHAnsi" w:cstheme="minorBidi"/>
          <w:noProof/>
          <w:sz w:val="22"/>
          <w:szCs w:val="22"/>
          <w:rtl/>
        </w:rPr>
      </w:pPr>
      <w:hyperlink w:anchor="_Toc444083799" w:history="1">
        <w:r w:rsidR="00153E41" w:rsidRPr="0078527D">
          <w:rPr>
            <w:rStyle w:val="Hyperlink"/>
            <w:rFonts w:hint="eastAsia"/>
            <w:noProof/>
            <w:rtl/>
          </w:rPr>
          <w:t>أ</w:t>
        </w:r>
        <w:r w:rsidR="00153E41" w:rsidRPr="0078527D">
          <w:rPr>
            <w:rStyle w:val="Hyperlink"/>
            <w:noProof/>
            <w:rtl/>
          </w:rPr>
          <w:t xml:space="preserve">: </w:t>
        </w:r>
        <w:r w:rsidR="00153E41" w:rsidRPr="0078527D">
          <w:rPr>
            <w:rStyle w:val="Hyperlink"/>
            <w:rFonts w:hint="eastAsia"/>
            <w:noProof/>
            <w:rtl/>
          </w:rPr>
          <w:t>محاربة</w:t>
        </w:r>
        <w:r w:rsidR="00153E41" w:rsidRPr="0078527D">
          <w:rPr>
            <w:rStyle w:val="Hyperlink"/>
            <w:noProof/>
            <w:rtl/>
          </w:rPr>
          <w:t xml:space="preserve"> </w:t>
        </w:r>
        <w:r w:rsidR="00153E41" w:rsidRPr="0078527D">
          <w:rPr>
            <w:rStyle w:val="Hyperlink"/>
            <w:rFonts w:hint="eastAsia"/>
            <w:noProof/>
            <w:rtl/>
          </w:rPr>
          <w:t>كَسْرَوِي</w:t>
        </w:r>
        <w:r w:rsidR="00153E41" w:rsidRPr="0078527D">
          <w:rPr>
            <w:rStyle w:val="Hyperlink"/>
            <w:noProof/>
            <w:rtl/>
          </w:rPr>
          <w:t>:</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Toc444083799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18</w:t>
        </w:r>
        <w:r w:rsidR="00153E41">
          <w:rPr>
            <w:noProof/>
            <w:webHidden/>
            <w:rtl/>
          </w:rPr>
          <w:fldChar w:fldCharType="end"/>
        </w:r>
      </w:hyperlink>
    </w:p>
    <w:p w:rsidR="00153E41" w:rsidRDefault="00E11272">
      <w:pPr>
        <w:pStyle w:val="TOC3"/>
        <w:tabs>
          <w:tab w:val="right" w:leader="dot" w:pos="7644"/>
        </w:tabs>
        <w:rPr>
          <w:rFonts w:asciiTheme="minorHAnsi" w:eastAsiaTheme="minorEastAsia" w:hAnsiTheme="minorHAnsi" w:cstheme="minorBidi"/>
          <w:noProof/>
          <w:sz w:val="22"/>
          <w:szCs w:val="22"/>
          <w:rtl/>
        </w:rPr>
      </w:pPr>
      <w:hyperlink w:anchor="_Toc444083800" w:history="1">
        <w:r w:rsidR="00153E41" w:rsidRPr="0078527D">
          <w:rPr>
            <w:rStyle w:val="Hyperlink"/>
            <w:rFonts w:hint="eastAsia"/>
            <w:noProof/>
            <w:rtl/>
          </w:rPr>
          <w:t>ب</w:t>
        </w:r>
        <w:r w:rsidR="00153E41" w:rsidRPr="0078527D">
          <w:rPr>
            <w:rStyle w:val="Hyperlink"/>
            <w:noProof/>
            <w:rtl/>
          </w:rPr>
          <w:t xml:space="preserve">: </w:t>
        </w:r>
        <w:r w:rsidR="00153E41" w:rsidRPr="0078527D">
          <w:rPr>
            <w:rStyle w:val="Hyperlink"/>
            <w:rFonts w:hint="eastAsia"/>
            <w:noProof/>
            <w:rtl/>
          </w:rPr>
          <w:t>النضال</w:t>
        </w:r>
        <w:r w:rsidR="00153E41" w:rsidRPr="0078527D">
          <w:rPr>
            <w:rStyle w:val="Hyperlink"/>
            <w:noProof/>
            <w:rtl/>
          </w:rPr>
          <w:t xml:space="preserve"> </w:t>
        </w:r>
        <w:r w:rsidR="00153E41" w:rsidRPr="0078527D">
          <w:rPr>
            <w:rStyle w:val="Hyperlink"/>
            <w:rFonts w:hint="eastAsia"/>
            <w:noProof/>
            <w:rtl/>
          </w:rPr>
          <w:t>من</w:t>
        </w:r>
        <w:r w:rsidR="00153E41" w:rsidRPr="0078527D">
          <w:rPr>
            <w:rStyle w:val="Hyperlink"/>
            <w:noProof/>
            <w:rtl/>
          </w:rPr>
          <w:t xml:space="preserve"> </w:t>
        </w:r>
        <w:r w:rsidR="00153E41" w:rsidRPr="0078527D">
          <w:rPr>
            <w:rStyle w:val="Hyperlink"/>
            <w:rFonts w:hint="eastAsia"/>
            <w:noProof/>
            <w:rtl/>
          </w:rPr>
          <w:t>أجل</w:t>
        </w:r>
        <w:r w:rsidR="00153E41" w:rsidRPr="0078527D">
          <w:rPr>
            <w:rStyle w:val="Hyperlink"/>
            <w:noProof/>
            <w:rtl/>
          </w:rPr>
          <w:t xml:space="preserve"> </w:t>
        </w:r>
        <w:r w:rsidR="00153E41" w:rsidRPr="0078527D">
          <w:rPr>
            <w:rStyle w:val="Hyperlink"/>
            <w:rFonts w:hint="eastAsia"/>
            <w:noProof/>
            <w:rtl/>
          </w:rPr>
          <w:t>الحجاب</w:t>
        </w:r>
        <w:r w:rsidR="00153E41" w:rsidRPr="0078527D">
          <w:rPr>
            <w:rStyle w:val="Hyperlink"/>
            <w:noProof/>
            <w:rtl/>
          </w:rPr>
          <w:t>:</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Toc444083800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22</w:t>
        </w:r>
        <w:r w:rsidR="00153E41">
          <w:rPr>
            <w:noProof/>
            <w:webHidden/>
            <w:rtl/>
          </w:rPr>
          <w:fldChar w:fldCharType="end"/>
        </w:r>
      </w:hyperlink>
    </w:p>
    <w:p w:rsidR="00153E41" w:rsidRDefault="00E11272">
      <w:pPr>
        <w:pStyle w:val="TOC3"/>
        <w:tabs>
          <w:tab w:val="right" w:leader="dot" w:pos="7644"/>
        </w:tabs>
        <w:rPr>
          <w:rFonts w:asciiTheme="minorHAnsi" w:eastAsiaTheme="minorEastAsia" w:hAnsiTheme="minorHAnsi" w:cstheme="minorBidi"/>
          <w:noProof/>
          <w:sz w:val="22"/>
          <w:szCs w:val="22"/>
          <w:rtl/>
        </w:rPr>
      </w:pPr>
      <w:hyperlink w:anchor="_Toc444083801" w:history="1">
        <w:r w:rsidR="00153E41" w:rsidRPr="0078527D">
          <w:rPr>
            <w:rStyle w:val="Hyperlink"/>
            <w:rFonts w:hint="eastAsia"/>
            <w:noProof/>
            <w:rtl/>
          </w:rPr>
          <w:t>ج</w:t>
        </w:r>
        <w:r w:rsidR="00153E41" w:rsidRPr="0078527D">
          <w:rPr>
            <w:rStyle w:val="Hyperlink"/>
            <w:noProof/>
            <w:rtl/>
          </w:rPr>
          <w:t xml:space="preserve">: </w:t>
        </w:r>
        <w:r w:rsidR="00153E41" w:rsidRPr="0078527D">
          <w:rPr>
            <w:rStyle w:val="Hyperlink"/>
            <w:rFonts w:hint="eastAsia"/>
            <w:noProof/>
            <w:rtl/>
          </w:rPr>
          <w:t>محاربة</w:t>
        </w:r>
        <w:r w:rsidR="00153E41" w:rsidRPr="0078527D">
          <w:rPr>
            <w:rStyle w:val="Hyperlink"/>
            <w:noProof/>
            <w:rtl/>
          </w:rPr>
          <w:t xml:space="preserve"> </w:t>
        </w:r>
        <w:r w:rsidR="00153E41" w:rsidRPr="0078527D">
          <w:rPr>
            <w:rStyle w:val="Hyperlink"/>
            <w:rFonts w:hint="eastAsia"/>
            <w:noProof/>
            <w:rtl/>
          </w:rPr>
          <w:t>الماركسية</w:t>
        </w:r>
        <w:r w:rsidR="00153E41" w:rsidRPr="0078527D">
          <w:rPr>
            <w:rStyle w:val="Hyperlink"/>
            <w:noProof/>
            <w:rtl/>
          </w:rPr>
          <w:t xml:space="preserve"> </w:t>
        </w:r>
        <w:r w:rsidR="00153E41" w:rsidRPr="0078527D">
          <w:rPr>
            <w:rStyle w:val="Hyperlink"/>
            <w:rFonts w:hint="eastAsia"/>
            <w:noProof/>
            <w:rtl/>
          </w:rPr>
          <w:t>والإلحاد</w:t>
        </w:r>
        <w:r w:rsidR="00153E41" w:rsidRPr="0078527D">
          <w:rPr>
            <w:rStyle w:val="Hyperlink"/>
            <w:noProof/>
            <w:rtl/>
          </w:rPr>
          <w:t>:</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Toc444083801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23</w:t>
        </w:r>
        <w:r w:rsidR="00153E41">
          <w:rPr>
            <w:noProof/>
            <w:webHidden/>
            <w:rtl/>
          </w:rPr>
          <w:fldChar w:fldCharType="end"/>
        </w:r>
      </w:hyperlink>
    </w:p>
    <w:p w:rsidR="00153E41" w:rsidRDefault="00E11272">
      <w:pPr>
        <w:pStyle w:val="TOC3"/>
        <w:tabs>
          <w:tab w:val="right" w:leader="dot" w:pos="7644"/>
        </w:tabs>
        <w:rPr>
          <w:rFonts w:asciiTheme="minorHAnsi" w:eastAsiaTheme="minorEastAsia" w:hAnsiTheme="minorHAnsi" w:cstheme="minorBidi"/>
          <w:noProof/>
          <w:sz w:val="22"/>
          <w:szCs w:val="22"/>
          <w:rtl/>
        </w:rPr>
      </w:pPr>
      <w:hyperlink w:anchor="_Toc444083802" w:history="1">
        <w:r w:rsidR="00153E41" w:rsidRPr="0078527D">
          <w:rPr>
            <w:rStyle w:val="Hyperlink"/>
            <w:rFonts w:hint="eastAsia"/>
            <w:noProof/>
            <w:rtl/>
          </w:rPr>
          <w:t>د</w:t>
        </w:r>
        <w:r w:rsidR="00153E41" w:rsidRPr="0078527D">
          <w:rPr>
            <w:rStyle w:val="Hyperlink"/>
            <w:noProof/>
            <w:rtl/>
          </w:rPr>
          <w:t xml:space="preserve">: </w:t>
        </w:r>
        <w:r w:rsidR="00153E41" w:rsidRPr="0078527D">
          <w:rPr>
            <w:rStyle w:val="Hyperlink"/>
            <w:rFonts w:hint="eastAsia"/>
            <w:noProof/>
            <w:rtl/>
          </w:rPr>
          <w:t>محاربة</w:t>
        </w:r>
        <w:r w:rsidR="00153E41" w:rsidRPr="0078527D">
          <w:rPr>
            <w:rStyle w:val="Hyperlink"/>
            <w:noProof/>
            <w:rtl/>
          </w:rPr>
          <w:t xml:space="preserve"> </w:t>
        </w:r>
        <w:r w:rsidR="00153E41" w:rsidRPr="0078527D">
          <w:rPr>
            <w:rStyle w:val="Hyperlink"/>
            <w:rFonts w:hint="eastAsia"/>
            <w:noProof/>
            <w:rtl/>
          </w:rPr>
          <w:t>البهائيين</w:t>
        </w:r>
        <w:r w:rsidR="00153E41" w:rsidRPr="0078527D">
          <w:rPr>
            <w:rStyle w:val="Hyperlink"/>
            <w:noProof/>
            <w:rtl/>
          </w:rPr>
          <w:t>:</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Toc444083802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26</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03" w:history="1">
        <w:r w:rsidR="00153E41" w:rsidRPr="0078527D">
          <w:rPr>
            <w:rStyle w:val="Hyperlink"/>
            <w:noProof/>
            <w:rtl/>
          </w:rPr>
          <w:t xml:space="preserve">2. </w:t>
        </w:r>
        <w:r w:rsidR="00153E41" w:rsidRPr="0078527D">
          <w:rPr>
            <w:rStyle w:val="Hyperlink"/>
            <w:rFonts w:hint="eastAsia"/>
            <w:noProof/>
            <w:rtl/>
          </w:rPr>
          <w:t>بدء</w:t>
        </w:r>
        <w:r w:rsidR="00153E41" w:rsidRPr="0078527D">
          <w:rPr>
            <w:rStyle w:val="Hyperlink"/>
            <w:noProof/>
            <w:rtl/>
          </w:rPr>
          <w:t xml:space="preserve"> </w:t>
        </w:r>
        <w:r w:rsidR="00153E41" w:rsidRPr="0078527D">
          <w:rPr>
            <w:rStyle w:val="Hyperlink"/>
            <w:rFonts w:hint="eastAsia"/>
            <w:noProof/>
            <w:rtl/>
          </w:rPr>
          <w:t>النشاطات</w:t>
        </w:r>
        <w:r w:rsidR="00153E41" w:rsidRPr="0078527D">
          <w:rPr>
            <w:rStyle w:val="Hyperlink"/>
            <w:noProof/>
            <w:rtl/>
          </w:rPr>
          <w:t xml:space="preserve"> </w:t>
        </w:r>
        <w:r w:rsidR="00153E41" w:rsidRPr="0078527D">
          <w:rPr>
            <w:rStyle w:val="Hyperlink"/>
            <w:rFonts w:hint="eastAsia"/>
            <w:noProof/>
            <w:rtl/>
          </w:rPr>
          <w:t>الدينية</w:t>
        </w:r>
        <w:r w:rsidR="00153E41" w:rsidRPr="0078527D">
          <w:rPr>
            <w:rStyle w:val="Hyperlink"/>
            <w:noProof/>
            <w:rtl/>
          </w:rPr>
          <w:t xml:space="preserve"> </w:t>
        </w:r>
        <w:r w:rsidR="00153E41" w:rsidRPr="0078527D">
          <w:rPr>
            <w:rStyle w:val="Hyperlink"/>
            <w:rFonts w:ascii="Times New Roman" w:hAnsi="Times New Roman" w:cs="Times New Roman"/>
            <w:noProof/>
            <w:rtl/>
          </w:rPr>
          <w:t>–</w:t>
        </w:r>
        <w:r w:rsidR="00153E41" w:rsidRPr="0078527D">
          <w:rPr>
            <w:rStyle w:val="Hyperlink"/>
            <w:noProof/>
            <w:rtl/>
          </w:rPr>
          <w:t xml:space="preserve"> </w:t>
        </w:r>
        <w:r w:rsidR="00153E41" w:rsidRPr="0078527D">
          <w:rPr>
            <w:rStyle w:val="Hyperlink"/>
            <w:rFonts w:hint="eastAsia"/>
            <w:noProof/>
            <w:rtl/>
          </w:rPr>
          <w:t>السياسية</w:t>
        </w:r>
        <w:r w:rsidR="00153E41" w:rsidRPr="0078527D">
          <w:rPr>
            <w:rStyle w:val="Hyperlink"/>
            <w:noProof/>
            <w:rtl/>
          </w:rPr>
          <w:t xml:space="preserve"> </w:t>
        </w:r>
        <w:r w:rsidR="00153E41" w:rsidRPr="0078527D">
          <w:rPr>
            <w:rStyle w:val="Hyperlink"/>
            <w:rFonts w:hint="eastAsia"/>
            <w:noProof/>
            <w:rtl/>
          </w:rPr>
          <w:t>لمراجع</w:t>
        </w:r>
        <w:r w:rsidR="00153E41" w:rsidRPr="0078527D">
          <w:rPr>
            <w:rStyle w:val="Hyperlink"/>
            <w:noProof/>
            <w:rtl/>
          </w:rPr>
          <w:t xml:space="preserve"> </w:t>
        </w:r>
        <w:r w:rsidR="00153E41" w:rsidRPr="0078527D">
          <w:rPr>
            <w:rStyle w:val="Hyperlink"/>
            <w:rFonts w:hint="eastAsia"/>
            <w:noProof/>
            <w:rtl/>
          </w:rPr>
          <w:t>التقليد</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Toc444083803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29</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04" w:history="1">
        <w:r w:rsidR="00153E41" w:rsidRPr="0078527D">
          <w:rPr>
            <w:rStyle w:val="Hyperlink"/>
            <w:noProof/>
            <w:rtl/>
          </w:rPr>
          <w:t xml:space="preserve">3. </w:t>
        </w:r>
        <w:r w:rsidR="00153E41" w:rsidRPr="0078527D">
          <w:rPr>
            <w:rStyle w:val="Hyperlink"/>
            <w:rFonts w:hint="eastAsia"/>
            <w:noProof/>
            <w:rtl/>
          </w:rPr>
          <w:t>محاربة</w:t>
        </w:r>
        <w:r w:rsidR="00153E41" w:rsidRPr="0078527D">
          <w:rPr>
            <w:rStyle w:val="Hyperlink"/>
            <w:noProof/>
            <w:rtl/>
          </w:rPr>
          <w:t xml:space="preserve"> </w:t>
        </w:r>
        <w:r w:rsidR="00153E41" w:rsidRPr="0078527D">
          <w:rPr>
            <w:rStyle w:val="Hyperlink"/>
            <w:rFonts w:hint="eastAsia"/>
            <w:noProof/>
            <w:rtl/>
          </w:rPr>
          <w:t>رجال</w:t>
        </w:r>
        <w:r w:rsidR="00153E41" w:rsidRPr="0078527D">
          <w:rPr>
            <w:rStyle w:val="Hyperlink"/>
            <w:noProof/>
            <w:rtl/>
          </w:rPr>
          <w:t xml:space="preserve"> </w:t>
        </w:r>
        <w:r w:rsidR="00153E41" w:rsidRPr="0078527D">
          <w:rPr>
            <w:rStyle w:val="Hyperlink"/>
            <w:rFonts w:hint="eastAsia"/>
            <w:noProof/>
            <w:rtl/>
          </w:rPr>
          <w:t>الدين</w:t>
        </w:r>
        <w:r w:rsidR="00153E41" w:rsidRPr="0078527D">
          <w:rPr>
            <w:rStyle w:val="Hyperlink"/>
            <w:noProof/>
            <w:rtl/>
          </w:rPr>
          <w:t xml:space="preserve"> </w:t>
        </w:r>
        <w:r w:rsidR="00153E41" w:rsidRPr="0078527D">
          <w:rPr>
            <w:rStyle w:val="Hyperlink"/>
            <w:rFonts w:hint="eastAsia"/>
            <w:noProof/>
            <w:rtl/>
          </w:rPr>
          <w:t>ورد</w:t>
        </w:r>
        <w:r w:rsidR="00153E41" w:rsidRPr="0078527D">
          <w:rPr>
            <w:rStyle w:val="Hyperlink"/>
            <w:noProof/>
            <w:rtl/>
          </w:rPr>
          <w:t xml:space="preserve"> </w:t>
        </w:r>
        <w:r w:rsidR="00153E41" w:rsidRPr="0078527D">
          <w:rPr>
            <w:rStyle w:val="Hyperlink"/>
            <w:rFonts w:hint="eastAsia"/>
            <w:noProof/>
            <w:rtl/>
          </w:rPr>
          <w:t>فعل</w:t>
        </w:r>
        <w:r w:rsidR="00153E41" w:rsidRPr="0078527D">
          <w:rPr>
            <w:rStyle w:val="Hyperlink"/>
            <w:noProof/>
            <w:rtl/>
          </w:rPr>
          <w:t xml:space="preserve"> </w:t>
        </w:r>
        <w:r w:rsidR="00153E41" w:rsidRPr="0078527D">
          <w:rPr>
            <w:rStyle w:val="Hyperlink"/>
            <w:rFonts w:hint="eastAsia"/>
            <w:noProof/>
            <w:rtl/>
          </w:rPr>
          <w:t>علماء</w:t>
        </w:r>
        <w:r w:rsidR="00153E41" w:rsidRPr="0078527D">
          <w:rPr>
            <w:rStyle w:val="Hyperlink"/>
            <w:noProof/>
            <w:rtl/>
          </w:rPr>
          <w:t xml:space="preserve"> </w:t>
        </w:r>
        <w:r w:rsidR="00153E41" w:rsidRPr="0078527D">
          <w:rPr>
            <w:rStyle w:val="Hyperlink"/>
            <w:rFonts w:hint="eastAsia"/>
            <w:noProof/>
            <w:rtl/>
          </w:rPr>
          <w:t>الدين</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Toc444083804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44</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05" w:history="1">
        <w:r w:rsidR="00153E41" w:rsidRPr="0078527D">
          <w:rPr>
            <w:rStyle w:val="Hyperlink"/>
            <w:noProof/>
            <w:rtl/>
          </w:rPr>
          <w:t xml:space="preserve">4. </w:t>
        </w:r>
        <w:r w:rsidR="00153E41" w:rsidRPr="0078527D">
          <w:rPr>
            <w:rStyle w:val="Hyperlink"/>
            <w:rFonts w:hint="eastAsia"/>
            <w:noProof/>
            <w:rtl/>
          </w:rPr>
          <w:t>ظهور</w:t>
        </w:r>
        <w:r w:rsidR="00153E41" w:rsidRPr="0078527D">
          <w:rPr>
            <w:rStyle w:val="Hyperlink"/>
            <w:noProof/>
            <w:rtl/>
          </w:rPr>
          <w:t xml:space="preserve"> </w:t>
        </w:r>
        <w:r w:rsidR="00153E41" w:rsidRPr="0078527D">
          <w:rPr>
            <w:rStyle w:val="Hyperlink"/>
            <w:rFonts w:hint="eastAsia"/>
            <w:noProof/>
            <w:rtl/>
          </w:rPr>
          <w:t>الجمعيات</w:t>
        </w:r>
        <w:r w:rsidR="00153E41" w:rsidRPr="0078527D">
          <w:rPr>
            <w:rStyle w:val="Hyperlink"/>
            <w:noProof/>
            <w:rtl/>
          </w:rPr>
          <w:t xml:space="preserve"> </w:t>
        </w:r>
        <w:r w:rsidR="00153E41" w:rsidRPr="0078527D">
          <w:rPr>
            <w:rStyle w:val="Hyperlink"/>
            <w:rFonts w:hint="eastAsia"/>
            <w:noProof/>
            <w:rtl/>
          </w:rPr>
          <w:t>والتنظيمات</w:t>
        </w:r>
        <w:r w:rsidR="00153E41" w:rsidRPr="0078527D">
          <w:rPr>
            <w:rStyle w:val="Hyperlink"/>
            <w:noProof/>
            <w:rtl/>
          </w:rPr>
          <w:t xml:space="preserve"> </w:t>
        </w:r>
        <w:r w:rsidR="00153E41" w:rsidRPr="0078527D">
          <w:rPr>
            <w:rStyle w:val="Hyperlink"/>
            <w:rFonts w:hint="eastAsia"/>
            <w:noProof/>
            <w:rtl/>
          </w:rPr>
          <w:t>الدينية</w:t>
        </w:r>
        <w:r w:rsidR="00153E41" w:rsidRPr="0078527D">
          <w:rPr>
            <w:rStyle w:val="Hyperlink"/>
            <w:noProof/>
            <w:rtl/>
          </w:rPr>
          <w:t xml:space="preserve"> - </w:t>
        </w:r>
        <w:r w:rsidR="00153E41" w:rsidRPr="0078527D">
          <w:rPr>
            <w:rStyle w:val="Hyperlink"/>
            <w:rFonts w:hint="eastAsia"/>
            <w:noProof/>
            <w:rtl/>
          </w:rPr>
          <w:t>السياسية</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Toc444083805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59</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06" w:history="1">
        <w:r w:rsidR="00153E41" w:rsidRPr="0078527D">
          <w:rPr>
            <w:rStyle w:val="Hyperlink"/>
            <w:rFonts w:hint="eastAsia"/>
            <w:noProof/>
            <w:rtl/>
          </w:rPr>
          <w:t>أ</w:t>
        </w:r>
        <w:r w:rsidR="00153E41" w:rsidRPr="0078527D">
          <w:rPr>
            <w:rStyle w:val="Hyperlink"/>
            <w:noProof/>
            <w:rtl/>
          </w:rPr>
          <w:t xml:space="preserve">: </w:t>
        </w:r>
        <w:r w:rsidR="00153E41" w:rsidRPr="0078527D">
          <w:rPr>
            <w:rStyle w:val="Hyperlink"/>
            <w:rFonts w:hint="eastAsia"/>
            <w:noProof/>
            <w:rtl/>
          </w:rPr>
          <w:t>جمعية</w:t>
        </w:r>
        <w:r w:rsidR="00153E41" w:rsidRPr="0078527D">
          <w:rPr>
            <w:rStyle w:val="Hyperlink"/>
            <w:noProof/>
            <w:rtl/>
          </w:rPr>
          <w:t xml:space="preserve"> </w:t>
        </w:r>
        <w:r w:rsidR="00153E41" w:rsidRPr="0078527D">
          <w:rPr>
            <w:rStyle w:val="Hyperlink"/>
            <w:rFonts w:hint="eastAsia"/>
            <w:noProof/>
            <w:rtl/>
          </w:rPr>
          <w:t>الدعوة</w:t>
        </w:r>
        <w:r w:rsidR="00153E41" w:rsidRPr="0078527D">
          <w:rPr>
            <w:rStyle w:val="Hyperlink"/>
            <w:noProof/>
            <w:rtl/>
          </w:rPr>
          <w:t xml:space="preserve"> </w:t>
        </w:r>
        <w:r w:rsidR="00153E41" w:rsidRPr="0078527D">
          <w:rPr>
            <w:rStyle w:val="Hyperlink"/>
            <w:rFonts w:hint="eastAsia"/>
            <w:noProof/>
            <w:rtl/>
          </w:rPr>
          <w:t>الإسلامية</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Toc444083806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59</w:t>
        </w:r>
        <w:r w:rsidR="00153E41">
          <w:rPr>
            <w:noProof/>
            <w:webHidden/>
            <w:rtl/>
          </w:rPr>
          <w:fldChar w:fldCharType="end"/>
        </w:r>
      </w:hyperlink>
    </w:p>
    <w:p w:rsidR="00153E41" w:rsidRDefault="00E11272">
      <w:pPr>
        <w:pStyle w:val="TOC1"/>
        <w:tabs>
          <w:tab w:val="right" w:leader="dot" w:pos="7644"/>
        </w:tabs>
        <w:rPr>
          <w:rFonts w:asciiTheme="minorHAnsi" w:eastAsiaTheme="minorEastAsia" w:hAnsiTheme="minorHAnsi" w:cstheme="minorBidi"/>
          <w:noProof/>
          <w:sz w:val="22"/>
          <w:szCs w:val="22"/>
          <w:rtl/>
        </w:rPr>
      </w:pPr>
      <w:hyperlink w:anchor="_Toc444083807" w:history="1">
        <w:r w:rsidR="00153E41" w:rsidRPr="0078527D">
          <w:rPr>
            <w:rStyle w:val="Hyperlink"/>
            <w:rFonts w:hint="eastAsia"/>
            <w:noProof/>
            <w:rtl/>
          </w:rPr>
          <w:t>الفصل</w:t>
        </w:r>
        <w:r w:rsidR="00153E41" w:rsidRPr="0078527D">
          <w:rPr>
            <w:rStyle w:val="Hyperlink"/>
            <w:noProof/>
            <w:rtl/>
          </w:rPr>
          <w:t xml:space="preserve"> </w:t>
        </w:r>
        <w:r w:rsidR="00153E41" w:rsidRPr="0078527D">
          <w:rPr>
            <w:rStyle w:val="Hyperlink"/>
            <w:rFonts w:hint="eastAsia"/>
            <w:noProof/>
            <w:rtl/>
          </w:rPr>
          <w:t>الثاني</w:t>
        </w:r>
        <w:r w:rsidR="00153E41" w:rsidRPr="0078527D">
          <w:rPr>
            <w:rStyle w:val="Hyperlink"/>
            <w:noProof/>
            <w:rtl/>
          </w:rPr>
          <w:t xml:space="preserve">: </w:t>
        </w:r>
        <w:r w:rsidR="00153E41" w:rsidRPr="0078527D">
          <w:rPr>
            <w:rStyle w:val="Hyperlink"/>
            <w:rFonts w:hint="eastAsia"/>
            <w:noProof/>
            <w:rtl/>
          </w:rPr>
          <w:t>أ</w:t>
        </w:r>
        <w:r w:rsidR="00153E41" w:rsidRPr="0078527D">
          <w:rPr>
            <w:rStyle w:val="Hyperlink"/>
            <w:noProof/>
            <w:rtl/>
          </w:rPr>
          <w:t xml:space="preserve">: </w:t>
        </w:r>
        <w:r w:rsidR="00153E41" w:rsidRPr="0078527D">
          <w:rPr>
            <w:rStyle w:val="Hyperlink"/>
            <w:rFonts w:hint="eastAsia"/>
            <w:noProof/>
            <w:rtl/>
          </w:rPr>
          <w:t>مؤسسات</w:t>
        </w:r>
        <w:r w:rsidR="00153E41" w:rsidRPr="0078527D">
          <w:rPr>
            <w:rStyle w:val="Hyperlink"/>
            <w:noProof/>
            <w:rtl/>
          </w:rPr>
          <w:t xml:space="preserve"> </w:t>
        </w:r>
        <w:r w:rsidR="00153E41" w:rsidRPr="0078527D">
          <w:rPr>
            <w:rStyle w:val="Hyperlink"/>
            <w:rFonts w:hint="eastAsia"/>
            <w:noProof/>
            <w:rtl/>
          </w:rPr>
          <w:t>الحوزة</w:t>
        </w:r>
        <w:r w:rsidR="00153E41" w:rsidRPr="0078527D">
          <w:rPr>
            <w:rStyle w:val="Hyperlink"/>
            <w:noProof/>
            <w:rtl/>
          </w:rPr>
          <w:t xml:space="preserve"> </w:t>
        </w:r>
        <w:r w:rsidR="00153E41" w:rsidRPr="0078527D">
          <w:rPr>
            <w:rStyle w:val="Hyperlink"/>
            <w:rFonts w:hint="eastAsia"/>
            <w:noProof/>
            <w:rtl/>
          </w:rPr>
          <w:t>الثقافية</w:t>
        </w:r>
        <w:r w:rsidR="00153E41" w:rsidRPr="0078527D">
          <w:rPr>
            <w:rStyle w:val="Hyperlink"/>
            <w:noProof/>
            <w:rtl/>
          </w:rPr>
          <w:t>-</w:t>
        </w:r>
        <w:r w:rsidR="00153E41" w:rsidRPr="0078527D">
          <w:rPr>
            <w:rStyle w:val="Hyperlink"/>
            <w:rFonts w:hint="eastAsia"/>
            <w:noProof/>
            <w:rtl/>
          </w:rPr>
          <w:t>التعليمية</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Toc444083807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67</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08" w:history="1">
        <w:r w:rsidR="00153E41" w:rsidRPr="0078527D">
          <w:rPr>
            <w:rStyle w:val="Hyperlink"/>
            <w:noProof/>
            <w:rtl/>
          </w:rPr>
          <w:t xml:space="preserve">1. </w:t>
        </w:r>
        <w:r w:rsidR="00153E41" w:rsidRPr="0078527D">
          <w:rPr>
            <w:rStyle w:val="Hyperlink"/>
            <w:rFonts w:hint="eastAsia"/>
            <w:noProof/>
            <w:rtl/>
          </w:rPr>
          <w:t>دار</w:t>
        </w:r>
        <w:r w:rsidR="00153E41" w:rsidRPr="0078527D">
          <w:rPr>
            <w:rStyle w:val="Hyperlink"/>
            <w:noProof/>
            <w:rtl/>
          </w:rPr>
          <w:t xml:space="preserve"> </w:t>
        </w:r>
        <w:r w:rsidR="00153E41" w:rsidRPr="0078527D">
          <w:rPr>
            <w:rStyle w:val="Hyperlink"/>
            <w:rFonts w:hint="eastAsia"/>
            <w:noProof/>
            <w:rtl/>
          </w:rPr>
          <w:t>التبليغ</w:t>
        </w:r>
        <w:r w:rsidR="00153E41" w:rsidRPr="0078527D">
          <w:rPr>
            <w:rStyle w:val="Hyperlink"/>
            <w:noProof/>
            <w:rtl/>
          </w:rPr>
          <w:t xml:space="preserve"> </w:t>
        </w:r>
        <w:r w:rsidR="00153E41" w:rsidRPr="0078527D">
          <w:rPr>
            <w:rStyle w:val="Hyperlink"/>
            <w:rFonts w:hint="eastAsia"/>
            <w:noProof/>
            <w:rtl/>
          </w:rPr>
          <w:t>الإسلامي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Toc444083808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68</w:t>
        </w:r>
        <w:r w:rsidR="00153E41">
          <w:rPr>
            <w:noProof/>
            <w:webHidden/>
            <w:rtl/>
          </w:rPr>
          <w:fldChar w:fldCharType="end"/>
        </w:r>
      </w:hyperlink>
    </w:p>
    <w:p w:rsidR="00153E41" w:rsidRDefault="00E11272">
      <w:pPr>
        <w:pStyle w:val="TOC1"/>
        <w:tabs>
          <w:tab w:val="right" w:leader="dot" w:pos="7644"/>
        </w:tabs>
        <w:rPr>
          <w:rFonts w:asciiTheme="minorHAnsi" w:eastAsiaTheme="minorEastAsia" w:hAnsiTheme="minorHAnsi" w:cstheme="minorBidi"/>
          <w:noProof/>
          <w:sz w:val="22"/>
          <w:szCs w:val="22"/>
          <w:rtl/>
        </w:rPr>
      </w:pPr>
      <w:hyperlink w:anchor="_Toc444083809" w:history="1">
        <w:r w:rsidR="00153E41" w:rsidRPr="0078527D">
          <w:rPr>
            <w:rStyle w:val="Hyperlink"/>
            <w:rFonts w:hint="eastAsia"/>
            <w:noProof/>
            <w:rtl/>
          </w:rPr>
          <w:t>الفصل</w:t>
        </w:r>
        <w:r w:rsidR="00153E41" w:rsidRPr="0078527D">
          <w:rPr>
            <w:rStyle w:val="Hyperlink"/>
            <w:noProof/>
            <w:rtl/>
          </w:rPr>
          <w:t xml:space="preserve"> </w:t>
        </w:r>
        <w:r w:rsidR="00153E41" w:rsidRPr="0078527D">
          <w:rPr>
            <w:rStyle w:val="Hyperlink"/>
            <w:rFonts w:hint="eastAsia"/>
            <w:noProof/>
            <w:rtl/>
          </w:rPr>
          <w:t>الثامن</w:t>
        </w:r>
        <w:r w:rsidR="00153E41" w:rsidRPr="0078527D">
          <w:rPr>
            <w:rStyle w:val="Hyperlink"/>
            <w:noProof/>
            <w:rtl/>
          </w:rPr>
          <w:t xml:space="preserve">: </w:t>
        </w:r>
        <w:r w:rsidR="00153E41" w:rsidRPr="0078527D">
          <w:rPr>
            <w:rStyle w:val="Hyperlink"/>
            <w:rFonts w:hint="eastAsia"/>
            <w:noProof/>
            <w:rtl/>
          </w:rPr>
          <w:t>التيارات</w:t>
        </w:r>
        <w:r w:rsidR="00153E41" w:rsidRPr="0078527D">
          <w:rPr>
            <w:rStyle w:val="Hyperlink"/>
            <w:noProof/>
            <w:rtl/>
          </w:rPr>
          <w:t xml:space="preserve"> </w:t>
        </w:r>
        <w:r w:rsidR="00153E41" w:rsidRPr="0078527D">
          <w:rPr>
            <w:rStyle w:val="Hyperlink"/>
            <w:rFonts w:hint="eastAsia"/>
            <w:noProof/>
            <w:rtl/>
          </w:rPr>
          <w:t>المطالبة</w:t>
        </w:r>
        <w:r w:rsidR="00153E41" w:rsidRPr="0078527D">
          <w:rPr>
            <w:rStyle w:val="Hyperlink"/>
            <w:noProof/>
            <w:rtl/>
          </w:rPr>
          <w:t xml:space="preserve"> </w:t>
        </w:r>
        <w:r w:rsidR="00153E41" w:rsidRPr="0078527D">
          <w:rPr>
            <w:rStyle w:val="Hyperlink"/>
            <w:rFonts w:hint="eastAsia"/>
            <w:noProof/>
            <w:rtl/>
          </w:rPr>
          <w:t>بإعادة</w:t>
        </w:r>
        <w:r w:rsidR="00153E41" w:rsidRPr="0078527D">
          <w:rPr>
            <w:rStyle w:val="Hyperlink"/>
            <w:noProof/>
            <w:rtl/>
          </w:rPr>
          <w:t xml:space="preserve"> </w:t>
        </w:r>
        <w:r w:rsidR="00153E41" w:rsidRPr="0078527D">
          <w:rPr>
            <w:rStyle w:val="Hyperlink"/>
            <w:rFonts w:hint="eastAsia"/>
            <w:noProof/>
            <w:rtl/>
          </w:rPr>
          <w:t>النظر</w:t>
        </w:r>
        <w:r w:rsidR="00153E41" w:rsidRPr="0078527D">
          <w:rPr>
            <w:rStyle w:val="Hyperlink"/>
            <w:noProof/>
            <w:rtl/>
          </w:rPr>
          <w:t xml:space="preserve"> </w:t>
        </w:r>
        <w:r w:rsidR="00153E41" w:rsidRPr="0078527D">
          <w:rPr>
            <w:rStyle w:val="Hyperlink"/>
            <w:rFonts w:hint="eastAsia"/>
            <w:noProof/>
            <w:rtl/>
          </w:rPr>
          <w:t>في</w:t>
        </w:r>
        <w:r w:rsidR="00153E41" w:rsidRPr="0078527D">
          <w:rPr>
            <w:rStyle w:val="Hyperlink"/>
            <w:noProof/>
            <w:rtl/>
          </w:rPr>
          <w:t xml:space="preserve"> </w:t>
        </w:r>
        <w:r w:rsidR="00153E41" w:rsidRPr="0078527D">
          <w:rPr>
            <w:rStyle w:val="Hyperlink"/>
            <w:rFonts w:hint="eastAsia"/>
            <w:noProof/>
            <w:rtl/>
          </w:rPr>
          <w:t>عقائد</w:t>
        </w:r>
        <w:r w:rsidR="00153E41" w:rsidRPr="0078527D">
          <w:rPr>
            <w:rStyle w:val="Hyperlink"/>
            <w:noProof/>
            <w:rtl/>
          </w:rPr>
          <w:t xml:space="preserve"> </w:t>
        </w:r>
        <w:r w:rsidR="00153E41" w:rsidRPr="0078527D">
          <w:rPr>
            <w:rStyle w:val="Hyperlink"/>
            <w:rFonts w:hint="eastAsia"/>
            <w:noProof/>
            <w:rtl/>
          </w:rPr>
          <w:t>الشيعة</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Toc444083809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89</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0" w:history="1">
        <w:r w:rsidR="00153E41" w:rsidRPr="0078527D">
          <w:rPr>
            <w:rStyle w:val="Hyperlink"/>
            <w:rFonts w:hint="eastAsia"/>
            <w:noProof/>
            <w:rtl/>
          </w:rPr>
          <w:t>الخلفيات</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Toc444083810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89</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1" w:history="1">
        <w:r w:rsidR="00153E41" w:rsidRPr="0078527D">
          <w:rPr>
            <w:rStyle w:val="Hyperlink"/>
            <w:noProof/>
            <w:rtl/>
          </w:rPr>
          <w:t xml:space="preserve">1. </w:t>
        </w:r>
        <w:r w:rsidR="00153E41" w:rsidRPr="0078527D">
          <w:rPr>
            <w:rStyle w:val="Hyperlink"/>
            <w:rFonts w:hint="eastAsia"/>
            <w:noProof/>
            <w:rtl/>
          </w:rPr>
          <w:t>شريعت</w:t>
        </w:r>
        <w:r w:rsidR="00153E41" w:rsidRPr="0078527D">
          <w:rPr>
            <w:rStyle w:val="Hyperlink"/>
            <w:noProof/>
            <w:rtl/>
          </w:rPr>
          <w:t xml:space="preserve"> </w:t>
        </w:r>
        <w:r w:rsidR="00153E41" w:rsidRPr="0078527D">
          <w:rPr>
            <w:rStyle w:val="Hyperlink"/>
            <w:rFonts w:hint="eastAsia"/>
            <w:noProof/>
            <w:rtl/>
          </w:rPr>
          <w:t>سنگلجي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Toc444083811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95</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2" w:history="1">
        <w:r w:rsidR="00153E41" w:rsidRPr="0078527D">
          <w:rPr>
            <w:rStyle w:val="Hyperlink"/>
            <w:noProof/>
            <w:rtl/>
          </w:rPr>
          <w:t xml:space="preserve">2. </w:t>
        </w:r>
        <w:r w:rsidR="00153E41" w:rsidRPr="0078527D">
          <w:rPr>
            <w:rStyle w:val="Hyperlink"/>
            <w:rFonts w:hint="eastAsia"/>
            <w:noProof/>
            <w:rtl/>
          </w:rPr>
          <w:t>السيد</w:t>
        </w:r>
        <w:r w:rsidR="00153E41" w:rsidRPr="0078527D">
          <w:rPr>
            <w:rStyle w:val="Hyperlink"/>
            <w:noProof/>
            <w:rtl/>
          </w:rPr>
          <w:t xml:space="preserve"> </w:t>
        </w:r>
        <w:r w:rsidR="00153E41" w:rsidRPr="0078527D">
          <w:rPr>
            <w:rStyle w:val="Hyperlink"/>
            <w:rFonts w:hint="eastAsia"/>
            <w:noProof/>
            <w:rtl/>
          </w:rPr>
          <w:t>أسد</w:t>
        </w:r>
        <w:r w:rsidR="00153E41" w:rsidRPr="0078527D">
          <w:rPr>
            <w:rStyle w:val="Hyperlink"/>
            <w:noProof/>
            <w:rtl/>
          </w:rPr>
          <w:t xml:space="preserve"> </w:t>
        </w:r>
        <w:r w:rsidR="00153E41" w:rsidRPr="0078527D">
          <w:rPr>
            <w:rStyle w:val="Hyperlink"/>
            <w:rFonts w:hint="eastAsia"/>
            <w:noProof/>
            <w:rtl/>
          </w:rPr>
          <w:t>الله</w:t>
        </w:r>
        <w:r w:rsidR="00153E41" w:rsidRPr="0078527D">
          <w:rPr>
            <w:rStyle w:val="Hyperlink"/>
            <w:noProof/>
            <w:rtl/>
          </w:rPr>
          <w:t xml:space="preserve"> </w:t>
        </w:r>
        <w:r w:rsidR="00153E41" w:rsidRPr="0078527D">
          <w:rPr>
            <w:rStyle w:val="Hyperlink"/>
            <w:rFonts w:hint="eastAsia"/>
            <w:noProof/>
            <w:rtl/>
          </w:rPr>
          <w:t>خرقاني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Toc444083812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106</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3" w:history="1">
        <w:r w:rsidR="00153E41" w:rsidRPr="0078527D">
          <w:rPr>
            <w:rStyle w:val="Hyperlink"/>
            <w:noProof/>
            <w:rtl/>
          </w:rPr>
          <w:t xml:space="preserve">3. </w:t>
        </w:r>
        <w:r w:rsidR="00153E41" w:rsidRPr="0078527D">
          <w:rPr>
            <w:rStyle w:val="Hyperlink"/>
            <w:rFonts w:hint="eastAsia"/>
            <w:noProof/>
            <w:rtl/>
          </w:rPr>
          <w:t>أحمد</w:t>
        </w:r>
        <w:r w:rsidR="00153E41" w:rsidRPr="0078527D">
          <w:rPr>
            <w:rStyle w:val="Hyperlink"/>
            <w:noProof/>
            <w:rtl/>
          </w:rPr>
          <w:t xml:space="preserve"> </w:t>
        </w:r>
        <w:r w:rsidR="00153E41" w:rsidRPr="0078527D">
          <w:rPr>
            <w:rStyle w:val="Hyperlink"/>
            <w:rFonts w:hint="eastAsia"/>
            <w:noProof/>
            <w:rtl/>
          </w:rPr>
          <w:t>كسروي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Toc444083813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116</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4" w:history="1">
        <w:r w:rsidR="00153E41" w:rsidRPr="0078527D">
          <w:rPr>
            <w:rStyle w:val="Hyperlink"/>
            <w:rFonts w:hint="eastAsia"/>
            <w:noProof/>
            <w:rtl/>
          </w:rPr>
          <w:t>علي</w:t>
        </w:r>
        <w:r w:rsidR="00153E41" w:rsidRPr="0078527D">
          <w:rPr>
            <w:rStyle w:val="Hyperlink"/>
            <w:noProof/>
            <w:rtl/>
          </w:rPr>
          <w:t xml:space="preserve"> </w:t>
        </w:r>
        <w:r w:rsidR="00153E41" w:rsidRPr="0078527D">
          <w:rPr>
            <w:rStyle w:val="Hyperlink"/>
            <w:rFonts w:hint="eastAsia"/>
            <w:noProof/>
            <w:rtl/>
          </w:rPr>
          <w:t>أكبر</w:t>
        </w:r>
        <w:r w:rsidR="00153E41" w:rsidRPr="0078527D">
          <w:rPr>
            <w:rStyle w:val="Hyperlink"/>
            <w:noProof/>
            <w:rtl/>
          </w:rPr>
          <w:t xml:space="preserve"> </w:t>
        </w:r>
        <w:r w:rsidR="00153E41" w:rsidRPr="0078527D">
          <w:rPr>
            <w:rStyle w:val="Hyperlink"/>
            <w:rFonts w:hint="eastAsia"/>
            <w:noProof/>
            <w:rtl/>
          </w:rPr>
          <w:t>حَكَمي</w:t>
        </w:r>
        <w:r w:rsidR="00153E41" w:rsidRPr="0078527D">
          <w:rPr>
            <w:rStyle w:val="Hyperlink"/>
            <w:noProof/>
            <w:rtl/>
          </w:rPr>
          <w:t xml:space="preserve"> </w:t>
        </w:r>
        <w:r w:rsidR="00153E41" w:rsidRPr="0078527D">
          <w:rPr>
            <w:rStyle w:val="Hyperlink"/>
            <w:rFonts w:hint="eastAsia"/>
            <w:noProof/>
            <w:rtl/>
          </w:rPr>
          <w:t>زاده</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Toc444083814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122</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5" w:history="1">
        <w:r w:rsidR="00153E41" w:rsidRPr="0078527D">
          <w:rPr>
            <w:rStyle w:val="Hyperlink"/>
            <w:noProof/>
            <w:rtl/>
          </w:rPr>
          <w:t xml:space="preserve">4. </w:t>
        </w:r>
        <w:r w:rsidR="00153E41" w:rsidRPr="0078527D">
          <w:rPr>
            <w:rStyle w:val="Hyperlink"/>
            <w:rFonts w:hint="eastAsia"/>
            <w:noProof/>
            <w:rtl/>
          </w:rPr>
          <w:t>السيد</w:t>
        </w:r>
        <w:r w:rsidR="00153E41" w:rsidRPr="0078527D">
          <w:rPr>
            <w:rStyle w:val="Hyperlink"/>
            <w:noProof/>
            <w:rtl/>
          </w:rPr>
          <w:t xml:space="preserve"> </w:t>
        </w:r>
        <w:r w:rsidR="00153E41" w:rsidRPr="0078527D">
          <w:rPr>
            <w:rStyle w:val="Hyperlink"/>
            <w:rFonts w:hint="eastAsia"/>
            <w:noProof/>
            <w:rtl/>
          </w:rPr>
          <w:t>علي</w:t>
        </w:r>
        <w:r w:rsidR="00153E41" w:rsidRPr="0078527D">
          <w:rPr>
            <w:rStyle w:val="Hyperlink"/>
            <w:noProof/>
            <w:rtl/>
          </w:rPr>
          <w:t xml:space="preserve"> </w:t>
        </w:r>
        <w:r w:rsidR="00153E41" w:rsidRPr="0078527D">
          <w:rPr>
            <w:rStyle w:val="Hyperlink"/>
            <w:rFonts w:hint="eastAsia"/>
            <w:noProof/>
            <w:rtl/>
          </w:rPr>
          <w:t>أكبر</w:t>
        </w:r>
        <w:r w:rsidR="00153E41" w:rsidRPr="0078527D">
          <w:rPr>
            <w:rStyle w:val="Hyperlink"/>
            <w:noProof/>
            <w:rtl/>
          </w:rPr>
          <w:t xml:space="preserve"> </w:t>
        </w:r>
        <w:r w:rsidR="00153E41" w:rsidRPr="0078527D">
          <w:rPr>
            <w:rStyle w:val="Hyperlink"/>
            <w:rFonts w:hint="eastAsia"/>
            <w:noProof/>
            <w:rtl/>
          </w:rPr>
          <w:t>برقعي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Toc444083815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124</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6" w:history="1">
        <w:r w:rsidR="00153E41" w:rsidRPr="0078527D">
          <w:rPr>
            <w:rStyle w:val="Hyperlink"/>
            <w:noProof/>
            <w:rtl/>
          </w:rPr>
          <w:t xml:space="preserve">5. </w:t>
        </w:r>
        <w:r w:rsidR="00153E41" w:rsidRPr="0078527D">
          <w:rPr>
            <w:rStyle w:val="Hyperlink"/>
            <w:rFonts w:hint="eastAsia"/>
            <w:noProof/>
            <w:rtl/>
          </w:rPr>
          <w:t>الشيخ</w:t>
        </w:r>
        <w:r w:rsidR="00153E41" w:rsidRPr="0078527D">
          <w:rPr>
            <w:rStyle w:val="Hyperlink"/>
            <w:noProof/>
            <w:rtl/>
          </w:rPr>
          <w:t xml:space="preserve"> </w:t>
        </w:r>
        <w:r w:rsidR="00153E41" w:rsidRPr="0078527D">
          <w:rPr>
            <w:rStyle w:val="Hyperlink"/>
            <w:rFonts w:hint="eastAsia"/>
            <w:noProof/>
            <w:rtl/>
          </w:rPr>
          <w:t>محمد</w:t>
        </w:r>
        <w:r w:rsidR="00153E41" w:rsidRPr="0078527D">
          <w:rPr>
            <w:rStyle w:val="Hyperlink"/>
            <w:noProof/>
            <w:rtl/>
          </w:rPr>
          <w:t xml:space="preserve"> </w:t>
        </w:r>
        <w:r w:rsidR="00153E41" w:rsidRPr="0078527D">
          <w:rPr>
            <w:rStyle w:val="Hyperlink"/>
            <w:rFonts w:hint="eastAsia"/>
            <w:noProof/>
            <w:rtl/>
          </w:rPr>
          <w:t>خالصي</w:t>
        </w:r>
        <w:r w:rsidR="00153E41" w:rsidRPr="0078527D">
          <w:rPr>
            <w:rStyle w:val="Hyperlink"/>
            <w:noProof/>
            <w:rtl/>
          </w:rPr>
          <w:t xml:space="preserve"> </w:t>
        </w:r>
        <w:r w:rsidR="00153E41" w:rsidRPr="0078527D">
          <w:rPr>
            <w:rStyle w:val="Hyperlink"/>
            <w:rFonts w:hint="eastAsia"/>
            <w:noProof/>
            <w:rtl/>
          </w:rPr>
          <w:t>زاده</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Toc444083816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126</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7" w:history="1">
        <w:r w:rsidR="00153E41" w:rsidRPr="0078527D">
          <w:rPr>
            <w:rStyle w:val="Hyperlink"/>
            <w:noProof/>
            <w:rtl/>
          </w:rPr>
          <w:t xml:space="preserve">6. </w:t>
        </w:r>
        <w:r w:rsidR="00153E41" w:rsidRPr="0078527D">
          <w:rPr>
            <w:rStyle w:val="Hyperlink"/>
            <w:rFonts w:hint="eastAsia"/>
            <w:noProof/>
            <w:rtl/>
          </w:rPr>
          <w:t>حيدر</w:t>
        </w:r>
        <w:r w:rsidR="00153E41" w:rsidRPr="0078527D">
          <w:rPr>
            <w:rStyle w:val="Hyperlink"/>
            <w:noProof/>
            <w:rtl/>
          </w:rPr>
          <w:t xml:space="preserve"> </w:t>
        </w:r>
        <w:r w:rsidR="00153E41" w:rsidRPr="0078527D">
          <w:rPr>
            <w:rStyle w:val="Hyperlink"/>
            <w:rFonts w:hint="eastAsia"/>
            <w:noProof/>
            <w:rtl/>
          </w:rPr>
          <w:t>علي</w:t>
        </w:r>
        <w:r w:rsidR="00153E41" w:rsidRPr="0078527D">
          <w:rPr>
            <w:rStyle w:val="Hyperlink"/>
            <w:noProof/>
            <w:rtl/>
          </w:rPr>
          <w:t xml:space="preserve"> </w:t>
        </w:r>
        <w:r w:rsidR="00153E41" w:rsidRPr="0078527D">
          <w:rPr>
            <w:rStyle w:val="Hyperlink"/>
            <w:rFonts w:hint="eastAsia"/>
            <w:noProof/>
            <w:rtl/>
          </w:rPr>
          <w:t>قلمداران</w:t>
        </w:r>
        <w:r w:rsidR="00153E41">
          <w:rPr>
            <w:noProof/>
            <w:webHidden/>
            <w:rtl/>
          </w:rPr>
          <w:tab/>
        </w:r>
        <w:bookmarkStart w:id="6" w:name="Editing"/>
        <w:bookmarkEnd w:id="6"/>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Toc444083817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132</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8" w:history="1">
        <w:r w:rsidR="00153E41" w:rsidRPr="0078527D">
          <w:rPr>
            <w:rStyle w:val="Hyperlink"/>
            <w:noProof/>
            <w:rtl/>
          </w:rPr>
          <w:t xml:space="preserve">7. </w:t>
        </w:r>
        <w:r w:rsidR="00153E41" w:rsidRPr="0078527D">
          <w:rPr>
            <w:rStyle w:val="Hyperlink"/>
            <w:rFonts w:hint="eastAsia"/>
            <w:noProof/>
            <w:rtl/>
          </w:rPr>
          <w:t>السيد</w:t>
        </w:r>
        <w:r w:rsidR="00153E41" w:rsidRPr="0078527D">
          <w:rPr>
            <w:rStyle w:val="Hyperlink"/>
            <w:noProof/>
            <w:rtl/>
          </w:rPr>
          <w:t xml:space="preserve"> </w:t>
        </w:r>
        <w:r w:rsidR="00153E41" w:rsidRPr="0078527D">
          <w:rPr>
            <w:rStyle w:val="Hyperlink"/>
            <w:rFonts w:hint="eastAsia"/>
            <w:noProof/>
            <w:rtl/>
          </w:rPr>
          <w:t>أبو</w:t>
        </w:r>
        <w:r w:rsidR="00153E41" w:rsidRPr="0078527D">
          <w:rPr>
            <w:rStyle w:val="Hyperlink"/>
            <w:noProof/>
            <w:rtl/>
          </w:rPr>
          <w:t xml:space="preserve"> </w:t>
        </w:r>
        <w:r w:rsidR="00153E41" w:rsidRPr="0078527D">
          <w:rPr>
            <w:rStyle w:val="Hyperlink"/>
            <w:rFonts w:hint="eastAsia"/>
            <w:noProof/>
            <w:rtl/>
          </w:rPr>
          <w:t>الفضل</w:t>
        </w:r>
        <w:r w:rsidR="00153E41" w:rsidRPr="0078527D">
          <w:rPr>
            <w:rStyle w:val="Hyperlink"/>
            <w:noProof/>
            <w:rtl/>
          </w:rPr>
          <w:t xml:space="preserve"> </w:t>
        </w:r>
        <w:r w:rsidR="00153E41" w:rsidRPr="0078527D">
          <w:rPr>
            <w:rStyle w:val="Hyperlink"/>
            <w:rFonts w:hint="eastAsia"/>
            <w:noProof/>
            <w:rtl/>
          </w:rPr>
          <w:t>البرقعي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Toc444083818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139</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19" w:history="1">
        <w:r w:rsidR="00153E41" w:rsidRPr="0078527D">
          <w:rPr>
            <w:rStyle w:val="Hyperlink"/>
            <w:noProof/>
            <w:rtl/>
          </w:rPr>
          <w:t xml:space="preserve">8. </w:t>
        </w:r>
        <w:r w:rsidR="00153E41" w:rsidRPr="0078527D">
          <w:rPr>
            <w:rStyle w:val="Hyperlink"/>
            <w:rFonts w:hint="eastAsia"/>
            <w:noProof/>
            <w:rtl/>
          </w:rPr>
          <w:t>السيد</w:t>
        </w:r>
        <w:r w:rsidR="00153E41" w:rsidRPr="0078527D">
          <w:rPr>
            <w:rStyle w:val="Hyperlink"/>
            <w:noProof/>
            <w:rtl/>
          </w:rPr>
          <w:t xml:space="preserve"> </w:t>
        </w:r>
        <w:r w:rsidR="00153E41" w:rsidRPr="0078527D">
          <w:rPr>
            <w:rStyle w:val="Hyperlink"/>
            <w:rFonts w:hint="eastAsia"/>
            <w:noProof/>
            <w:rtl/>
          </w:rPr>
          <w:t>صادق</w:t>
        </w:r>
        <w:r w:rsidR="00153E41" w:rsidRPr="0078527D">
          <w:rPr>
            <w:rStyle w:val="Hyperlink"/>
            <w:noProof/>
            <w:rtl/>
          </w:rPr>
          <w:t xml:space="preserve"> </w:t>
        </w:r>
        <w:r w:rsidR="00153E41" w:rsidRPr="0078527D">
          <w:rPr>
            <w:rStyle w:val="Hyperlink"/>
            <w:rFonts w:hint="eastAsia"/>
            <w:noProof/>
            <w:rtl/>
          </w:rPr>
          <w:t>تقوي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Toc444083819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144</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0" w:history="1">
        <w:r w:rsidR="00153E41" w:rsidRPr="0078527D">
          <w:rPr>
            <w:rStyle w:val="Hyperlink"/>
            <w:noProof/>
            <w:rtl/>
          </w:rPr>
          <w:t xml:space="preserve">9. </w:t>
        </w:r>
        <w:r w:rsidR="00153E41" w:rsidRPr="0078527D">
          <w:rPr>
            <w:rStyle w:val="Hyperlink"/>
            <w:rFonts w:hint="eastAsia"/>
            <w:noProof/>
            <w:rtl/>
          </w:rPr>
          <w:t>الميرزا</w:t>
        </w:r>
        <w:r w:rsidR="00153E41" w:rsidRPr="0078527D">
          <w:rPr>
            <w:rStyle w:val="Hyperlink"/>
            <w:noProof/>
            <w:rtl/>
          </w:rPr>
          <w:t xml:space="preserve"> </w:t>
        </w:r>
        <w:r w:rsidR="00153E41" w:rsidRPr="0078527D">
          <w:rPr>
            <w:rStyle w:val="Hyperlink"/>
            <w:rFonts w:hint="eastAsia"/>
            <w:noProof/>
            <w:rtl/>
          </w:rPr>
          <w:t>يوسف</w:t>
        </w:r>
        <w:r w:rsidR="00153E41" w:rsidRPr="0078527D">
          <w:rPr>
            <w:rStyle w:val="Hyperlink"/>
            <w:noProof/>
            <w:rtl/>
          </w:rPr>
          <w:t xml:space="preserve"> </w:t>
        </w:r>
        <w:r w:rsidR="00153E41" w:rsidRPr="0078527D">
          <w:rPr>
            <w:rStyle w:val="Hyperlink"/>
            <w:rFonts w:hint="eastAsia"/>
            <w:noProof/>
            <w:rtl/>
          </w:rPr>
          <w:t>شُعَار</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Toc444083820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152</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1" w:history="1">
        <w:r w:rsidR="00153E41" w:rsidRPr="0078527D">
          <w:rPr>
            <w:rStyle w:val="Hyperlink"/>
            <w:noProof/>
            <w:rtl/>
          </w:rPr>
          <w:t xml:space="preserve">10. </w:t>
        </w:r>
        <w:r w:rsidR="00153E41" w:rsidRPr="0078527D">
          <w:rPr>
            <w:rStyle w:val="Hyperlink"/>
            <w:rFonts w:hint="eastAsia"/>
            <w:noProof/>
            <w:rtl/>
          </w:rPr>
          <w:t>محمد</w:t>
        </w:r>
        <w:r w:rsidR="00153E41" w:rsidRPr="0078527D">
          <w:rPr>
            <w:rStyle w:val="Hyperlink"/>
            <w:noProof/>
            <w:rtl/>
          </w:rPr>
          <w:t xml:space="preserve"> </w:t>
        </w:r>
        <w:r w:rsidR="00153E41" w:rsidRPr="0078527D">
          <w:rPr>
            <w:rStyle w:val="Hyperlink"/>
            <w:rFonts w:hint="eastAsia"/>
            <w:noProof/>
            <w:rtl/>
          </w:rPr>
          <w:t>جواد</w:t>
        </w:r>
        <w:r w:rsidR="00153E41" w:rsidRPr="0078527D">
          <w:rPr>
            <w:rStyle w:val="Hyperlink"/>
            <w:noProof/>
            <w:rtl/>
          </w:rPr>
          <w:t xml:space="preserve"> </w:t>
        </w:r>
        <w:r w:rsidR="00153E41" w:rsidRPr="0078527D">
          <w:rPr>
            <w:rStyle w:val="Hyperlink"/>
            <w:rFonts w:hint="eastAsia"/>
            <w:noProof/>
            <w:rtl/>
          </w:rPr>
          <w:t>الغروي</w:t>
        </w:r>
        <w:r w:rsidR="00153E41" w:rsidRPr="0078527D">
          <w:rPr>
            <w:rStyle w:val="Hyperlink"/>
            <w:noProof/>
            <w:rtl/>
          </w:rPr>
          <w:t xml:space="preserve"> </w:t>
        </w:r>
        <w:r w:rsidR="00153E41" w:rsidRPr="0078527D">
          <w:rPr>
            <w:rStyle w:val="Hyperlink"/>
            <w:rFonts w:hint="eastAsia"/>
            <w:noProof/>
            <w:rtl/>
          </w:rPr>
          <w:t>الأصفهاني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Toc444083821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155</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2" w:history="1">
        <w:r w:rsidR="00153E41" w:rsidRPr="0078527D">
          <w:rPr>
            <w:rStyle w:val="Hyperlink"/>
            <w:noProof/>
            <w:rtl/>
          </w:rPr>
          <w:t xml:space="preserve">11. </w:t>
        </w:r>
        <w:r w:rsidR="00153E41" w:rsidRPr="0078527D">
          <w:rPr>
            <w:rStyle w:val="Hyperlink"/>
            <w:rFonts w:hint="eastAsia"/>
            <w:noProof/>
            <w:rtl/>
          </w:rPr>
          <w:t>مصطفى</w:t>
        </w:r>
        <w:r w:rsidR="00153E41" w:rsidRPr="0078527D">
          <w:rPr>
            <w:rStyle w:val="Hyperlink"/>
            <w:noProof/>
            <w:rtl/>
          </w:rPr>
          <w:t xml:space="preserve"> </w:t>
        </w:r>
        <w:r w:rsidR="00153E41" w:rsidRPr="0078527D">
          <w:rPr>
            <w:rStyle w:val="Hyperlink"/>
            <w:rFonts w:hint="eastAsia"/>
            <w:noProof/>
            <w:rtl/>
          </w:rPr>
          <w:t>الحسيني</w:t>
        </w:r>
        <w:r w:rsidR="00153E41" w:rsidRPr="0078527D">
          <w:rPr>
            <w:rStyle w:val="Hyperlink"/>
            <w:noProof/>
            <w:rtl/>
          </w:rPr>
          <w:t xml:space="preserve"> </w:t>
        </w:r>
        <w:r w:rsidR="00153E41" w:rsidRPr="0078527D">
          <w:rPr>
            <w:rStyle w:val="Hyperlink"/>
            <w:rFonts w:hint="eastAsia"/>
            <w:noProof/>
            <w:rtl/>
          </w:rPr>
          <w:t>الطباطبائي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Toc444083822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161</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3" w:history="1">
        <w:r w:rsidR="00153E41" w:rsidRPr="0078527D">
          <w:rPr>
            <w:rStyle w:val="Hyperlink"/>
            <w:noProof/>
            <w:rtl/>
          </w:rPr>
          <w:t xml:space="preserve">12. </w:t>
        </w:r>
        <w:r w:rsidR="00153E41" w:rsidRPr="0078527D">
          <w:rPr>
            <w:rStyle w:val="Hyperlink"/>
            <w:rFonts w:hint="eastAsia"/>
            <w:noProof/>
            <w:rtl/>
          </w:rPr>
          <w:t>محمد</w:t>
        </w:r>
        <w:r w:rsidR="00153E41" w:rsidRPr="0078527D">
          <w:rPr>
            <w:rStyle w:val="Hyperlink"/>
            <w:noProof/>
            <w:rtl/>
          </w:rPr>
          <w:t xml:space="preserve"> </w:t>
        </w:r>
        <w:r w:rsidR="00153E41" w:rsidRPr="0078527D">
          <w:rPr>
            <w:rStyle w:val="Hyperlink"/>
            <w:rFonts w:hint="eastAsia"/>
            <w:noProof/>
            <w:rtl/>
          </w:rPr>
          <w:t>صادق</w:t>
        </w:r>
        <w:r w:rsidR="00153E41" w:rsidRPr="0078527D">
          <w:rPr>
            <w:rStyle w:val="Hyperlink"/>
            <w:noProof/>
            <w:rtl/>
          </w:rPr>
          <w:t xml:space="preserve"> </w:t>
        </w:r>
        <w:r w:rsidR="00153E41" w:rsidRPr="0078527D">
          <w:rPr>
            <w:rStyle w:val="Hyperlink"/>
            <w:rFonts w:hint="eastAsia"/>
            <w:noProof/>
            <w:rtl/>
          </w:rPr>
          <w:t>طهراني</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Toc444083823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163</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4" w:history="1">
        <w:r w:rsidR="00153E41" w:rsidRPr="0078527D">
          <w:rPr>
            <w:rStyle w:val="Hyperlink"/>
            <w:noProof/>
            <w:rtl/>
          </w:rPr>
          <w:t xml:space="preserve">13. </w:t>
        </w:r>
        <w:r w:rsidR="00153E41" w:rsidRPr="0078527D">
          <w:rPr>
            <w:rStyle w:val="Hyperlink"/>
            <w:rFonts w:hint="eastAsia"/>
            <w:noProof/>
            <w:rtl/>
          </w:rPr>
          <w:t>أبو</w:t>
        </w:r>
        <w:r w:rsidR="00153E41" w:rsidRPr="0078527D">
          <w:rPr>
            <w:rStyle w:val="Hyperlink"/>
            <w:noProof/>
            <w:rtl/>
          </w:rPr>
          <w:t xml:space="preserve"> </w:t>
        </w:r>
        <w:r w:rsidR="00153E41" w:rsidRPr="0078527D">
          <w:rPr>
            <w:rStyle w:val="Hyperlink"/>
            <w:rFonts w:hint="eastAsia"/>
            <w:noProof/>
            <w:rtl/>
          </w:rPr>
          <w:t>الحسن</w:t>
        </w:r>
        <w:r w:rsidR="00153E41" w:rsidRPr="0078527D">
          <w:rPr>
            <w:rStyle w:val="Hyperlink"/>
            <w:noProof/>
            <w:rtl/>
          </w:rPr>
          <w:t xml:space="preserve"> </w:t>
        </w:r>
        <w:r w:rsidR="00153E41" w:rsidRPr="0078527D">
          <w:rPr>
            <w:rStyle w:val="Hyperlink"/>
            <w:rFonts w:hint="eastAsia"/>
            <w:noProof/>
            <w:rtl/>
          </w:rPr>
          <w:t>بني</w:t>
        </w:r>
        <w:r w:rsidR="00153E41" w:rsidRPr="0078527D">
          <w:rPr>
            <w:rStyle w:val="Hyperlink"/>
            <w:noProof/>
            <w:rtl/>
          </w:rPr>
          <w:t xml:space="preserve"> </w:t>
        </w:r>
        <w:r w:rsidR="00153E41" w:rsidRPr="0078527D">
          <w:rPr>
            <w:rStyle w:val="Hyperlink"/>
            <w:rFonts w:hint="eastAsia"/>
            <w:noProof/>
            <w:rtl/>
          </w:rPr>
          <w:t>صدر</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Toc444083824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170</w:t>
        </w:r>
        <w:r w:rsidR="00153E41">
          <w:rPr>
            <w:noProof/>
            <w:webHidden/>
            <w:rtl/>
          </w:rPr>
          <w:fldChar w:fldCharType="end"/>
        </w:r>
      </w:hyperlink>
    </w:p>
    <w:p w:rsidR="00153E41" w:rsidRDefault="00E11272">
      <w:pPr>
        <w:pStyle w:val="TOC2"/>
        <w:tabs>
          <w:tab w:val="right" w:leader="dot" w:pos="7644"/>
        </w:tabs>
        <w:rPr>
          <w:rFonts w:asciiTheme="minorHAnsi" w:eastAsiaTheme="minorEastAsia" w:hAnsiTheme="minorHAnsi" w:cstheme="minorBidi"/>
          <w:bCs w:val="0"/>
          <w:noProof/>
          <w:sz w:val="22"/>
          <w:szCs w:val="22"/>
          <w:rtl/>
        </w:rPr>
      </w:pPr>
      <w:hyperlink w:anchor="_Toc444083825" w:history="1">
        <w:r w:rsidR="00153E41" w:rsidRPr="0078527D">
          <w:rPr>
            <w:rStyle w:val="Hyperlink"/>
            <w:noProof/>
            <w:rtl/>
          </w:rPr>
          <w:t xml:space="preserve">14. </w:t>
        </w:r>
        <w:r w:rsidR="00153E41" w:rsidRPr="0078527D">
          <w:rPr>
            <w:rStyle w:val="Hyperlink"/>
            <w:rFonts w:hint="eastAsia"/>
            <w:noProof/>
            <w:rtl/>
          </w:rPr>
          <w:t>نعمة</w:t>
        </w:r>
        <w:r w:rsidR="00153E41" w:rsidRPr="0078527D">
          <w:rPr>
            <w:rStyle w:val="Hyperlink"/>
            <w:noProof/>
            <w:rtl/>
          </w:rPr>
          <w:t xml:space="preserve"> </w:t>
        </w:r>
        <w:r w:rsidR="00153E41" w:rsidRPr="0078527D">
          <w:rPr>
            <w:rStyle w:val="Hyperlink"/>
            <w:rFonts w:hint="eastAsia"/>
            <w:noProof/>
            <w:rtl/>
          </w:rPr>
          <w:t>الله</w:t>
        </w:r>
        <w:r w:rsidR="00153E41" w:rsidRPr="0078527D">
          <w:rPr>
            <w:rStyle w:val="Hyperlink"/>
            <w:noProof/>
            <w:rtl/>
          </w:rPr>
          <w:t xml:space="preserve"> </w:t>
        </w:r>
        <w:r w:rsidR="00153E41" w:rsidRPr="0078527D">
          <w:rPr>
            <w:rStyle w:val="Hyperlink"/>
            <w:rFonts w:hint="eastAsia"/>
            <w:noProof/>
            <w:rtl/>
          </w:rPr>
          <w:t>صالحي</w:t>
        </w:r>
        <w:r w:rsidR="00153E41" w:rsidRPr="0078527D">
          <w:rPr>
            <w:rStyle w:val="Hyperlink"/>
            <w:noProof/>
            <w:rtl/>
          </w:rPr>
          <w:t xml:space="preserve"> </w:t>
        </w:r>
        <w:r w:rsidR="00153E41" w:rsidRPr="0078527D">
          <w:rPr>
            <w:rStyle w:val="Hyperlink"/>
            <w:rFonts w:hint="eastAsia"/>
            <w:noProof/>
            <w:rtl/>
          </w:rPr>
          <w:t>نجف</w:t>
        </w:r>
        <w:r w:rsidR="00153E41" w:rsidRPr="0078527D">
          <w:rPr>
            <w:rStyle w:val="Hyperlink"/>
            <w:noProof/>
            <w:rtl/>
          </w:rPr>
          <w:t xml:space="preserve"> </w:t>
        </w:r>
        <w:r w:rsidR="00153E41" w:rsidRPr="0078527D">
          <w:rPr>
            <w:rStyle w:val="Hyperlink"/>
            <w:rFonts w:hint="eastAsia"/>
            <w:noProof/>
            <w:rtl/>
          </w:rPr>
          <w:t>آبادي</w:t>
        </w:r>
        <w:r w:rsidR="00153E41" w:rsidRPr="0078527D">
          <w:rPr>
            <w:rStyle w:val="Hyperlink"/>
            <w:noProof/>
            <w:rtl/>
          </w:rPr>
          <w:t xml:space="preserve"> </w:t>
        </w:r>
        <w:r w:rsidR="00153E41" w:rsidRPr="0078527D">
          <w:rPr>
            <w:rStyle w:val="Hyperlink"/>
            <w:rFonts w:hint="eastAsia"/>
            <w:noProof/>
            <w:rtl/>
          </w:rPr>
          <w:t>وكتاب</w:t>
        </w:r>
        <w:r w:rsidR="00153E41" w:rsidRPr="0078527D">
          <w:rPr>
            <w:rStyle w:val="Hyperlink"/>
            <w:noProof/>
            <w:rtl/>
          </w:rPr>
          <w:t xml:space="preserve"> </w:t>
        </w:r>
        <w:r w:rsidR="00153E41" w:rsidRPr="0078527D">
          <w:rPr>
            <w:rStyle w:val="Hyperlink"/>
            <w:rFonts w:hint="eastAsia"/>
            <w:noProof/>
            <w:rtl/>
          </w:rPr>
          <w:t>الشهيد</w:t>
        </w:r>
        <w:r w:rsidR="00153E41" w:rsidRPr="0078527D">
          <w:rPr>
            <w:rStyle w:val="Hyperlink"/>
            <w:noProof/>
            <w:rtl/>
          </w:rPr>
          <w:t xml:space="preserve"> </w:t>
        </w:r>
        <w:r w:rsidR="00153E41" w:rsidRPr="0078527D">
          <w:rPr>
            <w:rStyle w:val="Hyperlink"/>
            <w:rFonts w:hint="eastAsia"/>
            <w:noProof/>
            <w:rtl/>
          </w:rPr>
          <w:t>الخالد</w:t>
        </w:r>
        <w:r w:rsidR="00153E41">
          <w:rPr>
            <w:noProof/>
            <w:webHidden/>
            <w:rtl/>
          </w:rPr>
          <w:tab/>
        </w:r>
        <w:r w:rsidR="00153E41">
          <w:rPr>
            <w:noProof/>
            <w:webHidden/>
            <w:rtl/>
          </w:rPr>
          <w:fldChar w:fldCharType="begin"/>
        </w:r>
        <w:r w:rsidR="00153E41">
          <w:rPr>
            <w:noProof/>
            <w:webHidden/>
            <w:rtl/>
          </w:rPr>
          <w:instrText xml:space="preserve"> </w:instrText>
        </w:r>
        <w:r w:rsidR="00153E41">
          <w:rPr>
            <w:noProof/>
            <w:webHidden/>
          </w:rPr>
          <w:instrText>PAGEREF</w:instrText>
        </w:r>
        <w:r w:rsidR="00153E41">
          <w:rPr>
            <w:noProof/>
            <w:webHidden/>
            <w:rtl/>
          </w:rPr>
          <w:instrText xml:space="preserve"> _</w:instrText>
        </w:r>
        <w:r w:rsidR="00153E41">
          <w:rPr>
            <w:noProof/>
            <w:webHidden/>
          </w:rPr>
          <w:instrText>Toc444083825 \h</w:instrText>
        </w:r>
        <w:r w:rsidR="00153E41">
          <w:rPr>
            <w:noProof/>
            <w:webHidden/>
            <w:rtl/>
          </w:rPr>
          <w:instrText xml:space="preserve"> </w:instrText>
        </w:r>
        <w:r w:rsidR="00153E41">
          <w:rPr>
            <w:noProof/>
            <w:webHidden/>
            <w:rtl/>
          </w:rPr>
        </w:r>
        <w:r w:rsidR="00153E41">
          <w:rPr>
            <w:noProof/>
            <w:webHidden/>
            <w:rtl/>
          </w:rPr>
          <w:fldChar w:fldCharType="separate"/>
        </w:r>
        <w:r w:rsidR="00341A38">
          <w:rPr>
            <w:noProof/>
            <w:webHidden/>
            <w:rtl/>
          </w:rPr>
          <w:t>181</w:t>
        </w:r>
        <w:r w:rsidR="00153E41">
          <w:rPr>
            <w:noProof/>
            <w:webHidden/>
            <w:rtl/>
          </w:rPr>
          <w:fldChar w:fldCharType="end"/>
        </w:r>
      </w:hyperlink>
    </w:p>
    <w:p w:rsidR="004208F4" w:rsidRDefault="004208F4" w:rsidP="00DA6CFB">
      <w:pPr>
        <w:pStyle w:val="1"/>
        <w:rPr>
          <w:rtl/>
        </w:rPr>
        <w:sectPr w:rsidR="004208F4" w:rsidSect="00FB36F3">
          <w:headerReference w:type="first" r:id="rId14"/>
          <w:footnotePr>
            <w:numRestart w:val="eachPage"/>
          </w:footnotePr>
          <w:type w:val="oddPage"/>
          <w:pgSz w:w="9356" w:h="13608" w:code="1"/>
          <w:pgMar w:top="1021" w:right="851" w:bottom="737" w:left="851" w:header="454" w:footer="0" w:gutter="0"/>
          <w:pgNumType w:fmt="arabicAbjad" w:start="1"/>
          <w:cols w:space="720"/>
          <w:titlePg/>
          <w:bidi/>
          <w:rtlGutter/>
          <w:docGrid w:linePitch="360"/>
        </w:sectPr>
      </w:pPr>
      <w:r>
        <w:rPr>
          <w:rtl/>
        </w:rPr>
        <w:fldChar w:fldCharType="end"/>
      </w:r>
    </w:p>
    <w:bookmarkEnd w:id="3"/>
    <w:bookmarkEnd w:id="4"/>
    <w:bookmarkEnd w:id="5"/>
    <w:p w:rsidR="008F4B60" w:rsidRPr="008F4B60" w:rsidRDefault="008F4B60" w:rsidP="00B0252C">
      <w:pPr>
        <w:rPr>
          <w:rtl/>
        </w:rPr>
      </w:pPr>
    </w:p>
    <w:p w:rsidR="00DA6CFB" w:rsidRPr="00BA31C0" w:rsidRDefault="00DA6CFB" w:rsidP="006E28E9">
      <w:pPr>
        <w:pStyle w:val="a0"/>
        <w:ind w:firstLine="0"/>
        <w:jc w:val="center"/>
        <w:rPr>
          <w:rtl/>
          <w:lang w:bidi="ar-SY"/>
        </w:rPr>
      </w:pPr>
      <w:bookmarkStart w:id="7" w:name="_Toc406237813"/>
      <w:bookmarkEnd w:id="7"/>
      <w:r w:rsidRPr="00BA31C0">
        <w:rPr>
          <w:rFonts w:hint="cs"/>
          <w:rtl/>
          <w:lang w:bidi="ar-SY"/>
        </w:rPr>
        <w:t>بسم الله الرحمن الرحيم والحمد لله رب العالمين</w:t>
      </w:r>
    </w:p>
    <w:p w:rsidR="00DA6CFB" w:rsidRPr="00BA31C0" w:rsidRDefault="00DA6CFB" w:rsidP="006E28E9">
      <w:pPr>
        <w:pStyle w:val="a0"/>
        <w:ind w:firstLine="0"/>
        <w:jc w:val="center"/>
        <w:rPr>
          <w:rtl/>
          <w:lang w:bidi="ar-SY"/>
        </w:rPr>
      </w:pPr>
      <w:r w:rsidRPr="00BA31C0">
        <w:rPr>
          <w:rFonts w:hint="cs"/>
          <w:rtl/>
          <w:lang w:bidi="ar-SY"/>
        </w:rPr>
        <w:t>وصلى الله على سيدنا محمد وعلى آله الطاهرين</w:t>
      </w:r>
    </w:p>
    <w:p w:rsidR="00DA6CFB" w:rsidRPr="0055112B" w:rsidRDefault="00DA6CFB" w:rsidP="00DA6CFB">
      <w:pPr>
        <w:pStyle w:val="1"/>
        <w:rPr>
          <w:rtl/>
        </w:rPr>
      </w:pPr>
      <w:bookmarkStart w:id="8" w:name="_Toc444083795"/>
      <w:r>
        <w:rPr>
          <w:rFonts w:hint="cs"/>
          <w:rtl/>
        </w:rPr>
        <w:t>المقدمة</w:t>
      </w:r>
      <w:bookmarkEnd w:id="8"/>
    </w:p>
    <w:p w:rsidR="00DA6CFB" w:rsidRPr="0092648A" w:rsidRDefault="00DA6CFB" w:rsidP="0092648A">
      <w:pPr>
        <w:widowControl w:val="0"/>
        <w:spacing w:line="216" w:lineRule="auto"/>
        <w:ind w:firstLine="284"/>
        <w:jc w:val="both"/>
        <w:rPr>
          <w:rStyle w:val="Char"/>
          <w:rtl/>
        </w:rPr>
      </w:pPr>
      <w:r w:rsidRPr="0092648A">
        <w:rPr>
          <w:rStyle w:val="Char"/>
          <w:rFonts w:hint="cs"/>
          <w:rtl/>
        </w:rPr>
        <w:t>السؤال الأساسي حول الثورة الإسلامية التي انتصرت في شهر بهمن سنة 1357 هـ.ش [الموافق لشهر فبراير/شباط 1979م] هو: كيف ولماذا صارت القوى الدينية ورجال الدين في موقع زعامة هذه الثورة؟ ألم تكن القوى العلمانية هي الناشطة بشكل رئيسي في الساحة السياسية في إيران منذ الثورة الدستورية فما بعد؟ ألم يقم رضا شاه بمحاربة الدين والمتدينين والتقاليد الدينية بكل ما أوتي من قوة واستهدف المدارس الدينية والمساجد والحسينيات من أساسها، وَحَدَّ من نشاط رجال الدين من كل ناحية؟ ألم يَعْتَبِر أغلب المُثَقَّفين العصريين، في معظم كتاباتهم، أن العامل الأساسي لتخلف إيران وتأخرها عن الوصول إلى المَدَنِيَّة الحديثة والتجدد والعصرنة، هو الأفكار التقليدية والدين ووجود مدافعين عنهما، وكان أولئك المثقفون العصريون لا يألون جهدًا في إيجاد فجوة بين الجيل القديم والجيل الجديد؟ ألم يقم كثير من الأدباء والشعراء وكُتَّاب النُّكَت (الدعابات المضحكة) الساخرين المعاصرين بمهاجمة علماء الدين بِنُكاتهم ومن خلال أشعارهم ومن خلال سخريتهم وهجماتهم [على المتدينين وعلماء الدين] وامتلأت كتبهم ودواوينهم بالاستهزاء بمؤسسة رجال الدين والقِيَم الدينية المهمة كالحجاب مثلاً؟ ألم يبذل أتباع حزب توده وغيرهم من الشيوعيين قصارى جهدهم في تصوير الدين على أنه أفيون الشعوب، وسعَوا من جهة إلى تزعُّم حركة الشباب والجيل الثوري وإلى قطع تاريخ إيران عن ماضيها، ومن الجهة الأخرى، سعَوا إلى إسقاط حكومة البهلوي والجلوس على سدة السلطة بما كان يبذلونه من مساع وجهود بل نشاطات عسكرية وسياسية واسعة تحظى بدعم أجنبي واسع لهم في هذا المجال؟ و...</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فما الذي حدث حتى وجد علماء الدين ومراجع التقليد في الفترة الزمنية بين خرداد 1342 </w:t>
      </w:r>
      <w:r w:rsidRPr="0092648A">
        <w:rPr>
          <w:rStyle w:val="Char"/>
          <w:rFonts w:hint="cs"/>
          <w:rtl/>
        </w:rPr>
        <w:lastRenderedPageBreak/>
        <w:t>هـ.ش [يونيو/حزيران 1963م]، وحتى بهمن 1357 هـ.ش [فبراير/شباط 1979م] مثل هذه الشعبية العامة والمحبوبية لدى الناس، وما الذي أثار كل الشعب ضد التجدد والعصرنة الشكلية التي كان يقوم بها نظام البهلوي، وساقهم إلى التحرك في مسيرةٍ أفضت في نهاية المطاف إلى إسقاط النظام الدكتاتوري العميل وتسليم زعامة النضال إلى رجال الدين الثوريين؟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يبدو لنا أن الإجابة التاريخية عن هذا السؤال تكمن في مراجعة النشاطات الثقافية-السياسية للمتدينين في إيران في فترة السنوات بين شهريور 1320 هـ.ش [سبتمبر/أيلول 1941م] إلى بهمن 1357 هـ.ش. [فبراير/شباط 1979م]. لقد خضع الدين إلى ضغوطات شديدة مِنْ قِبَلِ رضا خان، ولكنه لم يخرج أبدًا من قلوب الشعب الإيراني، وكانت النتيجة أنه بعد رحيل رضا خان، أو بعبارة أصح، بعد إخراجه من إيران، بدأ المتدينون من جديد بممارسة نشاطاتهم، وشمَّروا عن ساعد الجِدّ لتأسيس المؤسسات الدينية المختلفة. وقد قطعت هذه النشاطات خطوات كبيرة إلى الأمام وتحوَّلَت حتى استطاعت أن تخلق الثورة الإسلامية التي انتصرت عام 1357 هـ.ش. [1979م].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هذا في حين أنه كان يبدو -حسب الظاهر- أن علماء الدين، والمتدينين بشكل عام، لم يكونوا يشكلون أي خطر على حكومة البهلوي. لقد حذَّروا الشاه [محمد رضا بهلوي] سنة 1355 هـ.ش [1976م] وأوائل سنة 1356 هـ.ش، وبشكل خاص بعد مجيء ساليوان سفير أمريكا الجديد إلى إيران، من خطر القِوى الدينية. فقال وزير القصر «عَلَم» للشاه: إنه سوف يرد بنفسه على ساليوان ويقول له: إن حفنة من المشايخ الممتلئة لحاهم بالقمل لا يمكنهم أن يفعلوا شيئاً.</w:t>
      </w:r>
      <w:r w:rsidRPr="006E28E9">
        <w:rPr>
          <w:rStyle w:val="Char"/>
          <w:rFonts w:ascii="Arabic11 BT" w:hAnsi="Arabic11 BT" w:cs="Arabic11 BT"/>
          <w:vertAlign w:val="superscript"/>
          <w:rtl/>
        </w:rPr>
        <w:footnoteReference w:id="1"/>
      </w:r>
      <w:r w:rsidRPr="0092648A">
        <w:rPr>
          <w:rStyle w:val="Char"/>
          <w:rFonts w:hint="cs"/>
          <w:rtl/>
        </w:rPr>
        <w:t xml:space="preserve"> وكان هذا هو اعتقاد الشاه نفسه أيضاً، وقد قال ردًّا على مطالبة آية الله الخوئي له ببذل جهود للحفاظ على حوزة النجف: أساسًا، إن بساط المشايخ يتجه نحو الاضمحلال في جميع أنحاء الدنيا.</w:t>
      </w:r>
      <w:r w:rsidRPr="006E28E9">
        <w:rPr>
          <w:rStyle w:val="Char"/>
          <w:rFonts w:ascii="Arabic11 BT" w:hAnsi="Arabic11 BT" w:cs="Arabic11 BT"/>
          <w:vertAlign w:val="superscript"/>
          <w:rtl/>
        </w:rPr>
        <w:footnoteReference w:id="2"/>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إن الكتاب الحاضر تقرير مختصر عن كيفية ظهور التيارات الدينية-السياسية وتطورها ونموّها منذ الأيام التي أعقبت شهر شهريور عام 1323 هـ.ش (تاريخ نفي رضا شاه من إيران) وحتى انتصار الثورة الإسلامية، وهي مرحلة زمنية سعى فيها علماء الدين والمتدينون والمجموعات التي كانت تهتم على نحو من الأنحاء بإحياء الدين أو التوفيق بينه وبين العصر الجديد، إلى إحياء الدين من خلال ممارسة نوع من نفض الغبار الذي تراكم </w:t>
      </w:r>
      <w:r w:rsidRPr="002409E8">
        <w:rPr>
          <w:rStyle w:val="Char"/>
          <w:rFonts w:hint="cs"/>
          <w:rtl/>
        </w:rPr>
        <w:t>فوقه نتيجة</w:t>
      </w:r>
      <w:r w:rsidRPr="002409E8">
        <w:rPr>
          <w:rStyle w:val="Char"/>
          <w:rFonts w:hint="cs"/>
          <w:sz w:val="20"/>
          <w:szCs w:val="20"/>
          <w:rtl/>
        </w:rPr>
        <w:t xml:space="preserve"> </w:t>
      </w:r>
      <w:r w:rsidRPr="0092648A">
        <w:rPr>
          <w:rStyle w:val="Char"/>
          <w:rFonts w:hint="cs"/>
          <w:rtl/>
        </w:rPr>
        <w:t xml:space="preserve">عملية تهميشه وإقصائه عن الحياة التي </w:t>
      </w:r>
      <w:r w:rsidRPr="0092648A">
        <w:rPr>
          <w:rStyle w:val="Char"/>
          <w:rFonts w:hint="cs"/>
          <w:rtl/>
        </w:rPr>
        <w:lastRenderedPageBreak/>
        <w:t>تعرض لها بشكل ممنهج طيلة فترة حكم رضا خان، ليزيدوا من صلته وتدخله في المجتمع والسياسة، ولكي يطبقوا عمليًّا تجربة جديدة في مواجهة العالم العصري الجديد؛ وهي التجربة التي أدت في نهاية المطاف إلى تأسيس جمهورية إيران الإسلامية.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يمكننا تحليل هذه المساعي والجهود ودراستها - عادةً - في قسمين: القسم الأول: بذل الجهود لإيجاد التشكيلات المنظّمة أعم من المجموعات والأحزاب والجمعيات والمنظمات وغيرها التي تضم عددًا من الأفراد إلى عضويتها وتتميز بنوع من المركزية وتتبنى فكرًا واستراتيجيةً وتكتيكاتٍ خاصّةً بها، والتي كانت تمارس نشاطها في المجتمع الإيراني بكل سعته. والقسم الثاني: مساعي التيارات الفكرية التي أثرت في طيف من القوى الاجتماعية وساقتها نحو جهة معينة من خلال الأمواج الفكرية التي طرحتها في المجتمع. إن اختياري لجملة «</w:t>
      </w:r>
      <w:r w:rsidRPr="0092648A">
        <w:rPr>
          <w:rStyle w:val="Char7"/>
          <w:rFonts w:hint="cs"/>
          <w:rtl/>
        </w:rPr>
        <w:t>التيارات والمنظمات الدينية-السياسية</w:t>
      </w:r>
      <w:r w:rsidRPr="0092648A">
        <w:rPr>
          <w:rStyle w:val="Char"/>
          <w:rFonts w:hint="cs"/>
          <w:rtl/>
        </w:rPr>
        <w:t xml:space="preserve">» عنوانًا لهذا الكتاب يعكس على نحو ما اتجاه الكتاب إلى دراسة هذين القسمين وتحليلهما. وقد استخدمتُ كلمة المنظمات هنا، بالطبع، بمعنى المجموعات المنظّمة أي بمعنى أعم من المنظَّمة بمعناها الخاص لذا فالكلمة تشمل الأحزاب والهيئات المذهبية وغيرها من التنظيمات. </w:t>
      </w:r>
    </w:p>
    <w:p w:rsidR="00DA6CFB" w:rsidRPr="0092648A" w:rsidRDefault="00DA6CFB" w:rsidP="0092648A">
      <w:pPr>
        <w:widowControl w:val="0"/>
        <w:spacing w:line="216" w:lineRule="auto"/>
        <w:ind w:firstLine="284"/>
        <w:jc w:val="both"/>
        <w:rPr>
          <w:rStyle w:val="Char"/>
          <w:rtl/>
        </w:rPr>
      </w:pPr>
      <w:r w:rsidRPr="0092648A">
        <w:rPr>
          <w:rStyle w:val="Char"/>
          <w:rFonts w:hint="cs"/>
          <w:rtl/>
        </w:rPr>
        <w:t>إن معرفة السبب الذي أدى إلى وقوع زعامة هذه النهضة وقيادتها في إيدي علماء الدين تشكل جزءاً فقط من الدافع لتأليف هذا الكتاب، أما الدافع الآخر فهو أن نعلم كيف كانت المنظمات والتيارات الدينية، التي ظهرت بعد زوال الاستبداد الرضا خاني وانتهاء الهجوم الوحشي الذي كانت تشنّه تلك الدولة على المظاهر الدينية، تنظر إلى الدين والسياسة، وكيف مدت نفوذها في الحوزات العلمية وفي الجامعات والبازار [السوق] والمدارس الثانوية والمساجد والحسينيات وسائر الأوساط الدينية، وكيف وسَّعت تحركها فيها؟</w:t>
      </w:r>
    </w:p>
    <w:p w:rsidR="00DA6CFB" w:rsidRPr="0092648A" w:rsidRDefault="00DA6CFB" w:rsidP="006D381E">
      <w:pPr>
        <w:pStyle w:val="a7"/>
        <w:rPr>
          <w:rStyle w:val="Char"/>
          <w:rtl/>
        </w:rPr>
      </w:pPr>
      <w:r w:rsidRPr="0092648A">
        <w:rPr>
          <w:rStyle w:val="Char"/>
          <w:rFonts w:hint="cs"/>
          <w:rtl/>
        </w:rPr>
        <w:t xml:space="preserve">   وبشكل عام هناك عدة نقاط مهمة تطرح نفسها في هذا القسم:</w:t>
      </w:r>
    </w:p>
    <w:p w:rsidR="00DA6CFB" w:rsidRPr="0092648A" w:rsidRDefault="00DA6CFB" w:rsidP="0092648A">
      <w:pPr>
        <w:widowControl w:val="0"/>
        <w:spacing w:line="216" w:lineRule="auto"/>
        <w:ind w:firstLine="284"/>
        <w:jc w:val="both"/>
        <w:rPr>
          <w:rStyle w:val="Char"/>
          <w:rtl/>
        </w:rPr>
      </w:pPr>
      <w:r w:rsidRPr="006D381E">
        <w:rPr>
          <w:rStyle w:val="Char7"/>
          <w:rFonts w:hint="cs"/>
          <w:rtl/>
        </w:rPr>
        <w:t>النقطة الأولى:</w:t>
      </w:r>
      <w:r w:rsidRPr="0092648A">
        <w:rPr>
          <w:rStyle w:val="Char"/>
          <w:rFonts w:hint="cs"/>
          <w:rtl/>
        </w:rPr>
        <w:t xml:space="preserve"> معرفة الأفكار الدينية لمؤسسي تلك التنظيمات ومعرفة الطريق الذي تعرفوا من خلاله على الدين والتصور الذي كان لديهم عن الدين.</w:t>
      </w:r>
    </w:p>
    <w:p w:rsidR="00DA6CFB" w:rsidRPr="0092648A" w:rsidRDefault="00DA6CFB" w:rsidP="0092648A">
      <w:pPr>
        <w:widowControl w:val="0"/>
        <w:spacing w:line="216" w:lineRule="auto"/>
        <w:ind w:firstLine="284"/>
        <w:jc w:val="both"/>
        <w:rPr>
          <w:rStyle w:val="Char"/>
          <w:rtl/>
        </w:rPr>
      </w:pPr>
      <w:r w:rsidRPr="006D381E">
        <w:rPr>
          <w:rStyle w:val="Char7"/>
          <w:rFonts w:hint="cs"/>
          <w:rtl/>
        </w:rPr>
        <w:t>النقطة الثانية:</w:t>
      </w:r>
      <w:r w:rsidRPr="0092648A">
        <w:rPr>
          <w:rStyle w:val="Char"/>
          <w:rFonts w:hint="cs"/>
          <w:rtl/>
        </w:rPr>
        <w:t xml:space="preserve"> صلة تلك التنظيمات بعلماء الدين وبمؤسسة المرجعية ووجهات نظرهم تجاهها، بوصفها المجتمع الذي أخذ على عاتقه وما يزال رسالة حفظ الدين والمحافظة على الشعائر والطقوس الدينية. وأن نعرف هل كان فهمُ تلك التنظيمات للدين وقراءتهم  وتفسيرهم لهم مستقلّاً عن فهم وقراءة مؤسسة علماء الدين، أم أنها كانت تتحرك ضمن إطار التفكير الديني الرسمي </w:t>
      </w:r>
      <w:r w:rsidRPr="0092648A">
        <w:rPr>
          <w:rStyle w:val="Char"/>
          <w:rFonts w:hint="cs"/>
          <w:rtl/>
        </w:rPr>
        <w:lastRenderedPageBreak/>
        <w:t xml:space="preserve">والتقليدي لرجال الدين؟ </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وكذلك أن نتعرف على نظرة تلك التنظيمات الإصلاحية تجاه الدين والمذهب، وأن نعرف حدود هذا الإصلاح والتصحيح والأساس الذي يرتكز عليه والمعايير التي يعتمدها.</w:t>
      </w:r>
    </w:p>
    <w:p w:rsidR="00DA6CFB" w:rsidRPr="0092648A" w:rsidRDefault="00DA6CFB" w:rsidP="0092648A">
      <w:pPr>
        <w:widowControl w:val="0"/>
        <w:spacing w:line="216" w:lineRule="auto"/>
        <w:ind w:firstLine="284"/>
        <w:jc w:val="both"/>
        <w:rPr>
          <w:rStyle w:val="Char"/>
          <w:rtl/>
        </w:rPr>
      </w:pPr>
      <w:r w:rsidRPr="006D381E">
        <w:rPr>
          <w:rStyle w:val="Char7"/>
          <w:rFonts w:hint="cs"/>
          <w:rtl/>
        </w:rPr>
        <w:t>النقطة الثالثة:</w:t>
      </w:r>
      <w:r w:rsidRPr="0092648A">
        <w:rPr>
          <w:rStyle w:val="Char"/>
          <w:rFonts w:hint="cs"/>
          <w:rtl/>
        </w:rPr>
        <w:t xml:space="preserve"> عقيدة زعماء هذه التنظيمات حول حدود التداخل بين الدين والسياسة؛ وبعبارة أخرى حول تسييس الدين وطرحه بوصفه فكرة ثورية وسياسية إلى حد كان وما هي المجموعات أو الأشخاص  الذين كانوا يؤمنون بهذا الطرح أكثر من الآخرين؟</w:t>
      </w:r>
    </w:p>
    <w:p w:rsidR="00DA6CFB" w:rsidRPr="0092648A" w:rsidRDefault="00DA6CFB" w:rsidP="0092648A">
      <w:pPr>
        <w:widowControl w:val="0"/>
        <w:spacing w:line="216" w:lineRule="auto"/>
        <w:ind w:firstLine="284"/>
        <w:jc w:val="both"/>
        <w:rPr>
          <w:rStyle w:val="Char"/>
          <w:rtl/>
        </w:rPr>
      </w:pPr>
      <w:r w:rsidRPr="006D381E">
        <w:rPr>
          <w:rStyle w:val="Char7"/>
          <w:rFonts w:hint="cs"/>
          <w:rtl/>
        </w:rPr>
        <w:t>النقطة الرابعة:</w:t>
      </w:r>
      <w:r w:rsidRPr="0092648A">
        <w:rPr>
          <w:rStyle w:val="Char"/>
          <w:rFonts w:hint="cs"/>
          <w:rtl/>
        </w:rPr>
        <w:t xml:space="preserve"> معرفة أهداف هذه التنظيمات والمنظمات وهل كان هدفها إحياء الدين والمذهب أم إصلاح أوضاع الناس السياسية الاجتماعية؟ بالطبع كل حزب وتنظيم وجماعة يتم تشكيله بغرض تحقيق أهداف مُعَيَّنة، فلابد من اتضاح هذه الرؤية على المستوى النظري والعملي.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وأيًّا كان الأمر، فإن قصة تشكيل هذه الأحزاب والتنظيمات والجماعات، وكيفية تفسيرها للدين، والأهم من كل ذلك كيفية مواجهتها للأفكار العصرية الحديثة، سواءً كانت الأفكار اليسارية أم اليمينية، وسعيها إلى تغريب الدين [أي صبغه بصبغة الغرب] وتحديثه وعصرنته، قصة مثيرة للاهتمام يمكنها أن تفيدنا في العصر الحاضر وتعطينا دروس وعبر. إذا أردنا أن نعرف الموقع الذي نحن فيه الآن على نحو أفضل، فلابد لنا أن نراجع هذه المرحلة التاريخية ونتأملها بدقة وعناية: تجربة الأيام الأولى التي بدأت فيها بعض المنظمات والأحزاب الدينية بممارسة نشاطها متأثرة بالأفكار الاشتراكية؛ الزمن الذي سقطت فيه بعض التنظيمات الدينية التي لا جذور لها في حضن الأفكار الماركسية؛ العصر الذي تقبلت فيه منظمة مجاهدين خلق، التي كانت منظمة دينية، فجأةً الإيديولوجية الماركسية اللينينية وارتدَّت عن الدين؛ وكذلك الزمن الذي ارتبطت فيه الأفكار الإسلامية بالأفكار الاجتماعية للغرب ارتباطًا وثيقًا وبذلت مساعيَ لتفسير الدين من زاوية العلوم الاجتماعية الجديدة، وهي حركة لاتزال مستمرة حتى يومنا هذا.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استفدنا في هذا الكتاب من عدد كبير من المصادر والمراجع المكتوبة. وبالطبع لم يكن ميسورًا للكاتب الوصول إلى المستندات والوثائق الموجودة في مراكز مختلفة، وقد استفدت في هذا المجال من النصوص المطبوعة فقط، ولاسيما من المستندات والوثائق التي نُشِرَتْ مؤخَّرًا على نطاق واسع. أما في القسم الشفهي، فهناك موارد كثيرة جدًّا حصلتُ فيها على المعلومات من خلال الاتصال الشخصي ببعض الشخصيات وقد أشرتُ إلى ذلك في متن الكتاب وحواشيه.</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لاشك أن الكتاب الحاضر لا يعدو قطرةً من بحر الكفاح الديني والمساعي الحثيثة التي بذلها جيل كامل بهدف إنقاذ الإسلام، وشملت أهدافه مجالاً عريضًا يبدأ من تخليص الدين من التحجر والجمود وتنقيته من الانحرافات والخرافات، إلى الانغماس في مستنقع التغريب والبدعة. وهو كفاح لا تزال آثاره وتبعاته لم تظهر بوضوح حتى الآن. ولكن هل استطاع علماء الدين أن يقودوا هذه الحركة بشكل جيد ويوصلوها إلى الهدف الذي تستحقه؟ سؤال يتعلق بمرحلة ما بعد الانقلاب وبتاريخ ثلاثين عاماً مضت بعد الثورة والإجابة عنه تقع في الحوادث التي وقعت في هذه المرحلة والتحولات التي تمت فيها.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منهجنا الأصلي في هذا الكتاب سيكون منهجاً تاريخياً - ثقافياً، وليس علم اجتماعياً. في الحقيقة، المصادر الأساسية التي اعتمد عليها المؤلف هي مصادر تاريخية بحتة، حيث سعى المؤلف إلى بيان خلفيات وأسباب اتساع النشاطات الدينية وتغلبها على الحركات العلمانية سواء كانت قومية أم ماركسية وذلك استناداً إلى المعطيات التاريخية. بالطبع هذا المنهج هو أحد المناهج لكتابة التاريخ. والمنهج الآخر هو المنهج علم الاجتماعي الذي يجب أن يقوم بدراسة التغيرات الاجتماعية والتنظيمات الخاصة بها في المجتمع الإيراني استناداً إلى مصادر أخرى، وهو أمر خارج عن بحثنا وعلمنا.</w:t>
      </w:r>
    </w:p>
    <w:p w:rsidR="00DA6CFB" w:rsidRPr="006E28E9" w:rsidRDefault="00DA6CFB" w:rsidP="0092648A">
      <w:pPr>
        <w:widowControl w:val="0"/>
        <w:spacing w:line="216" w:lineRule="auto"/>
        <w:ind w:firstLine="284"/>
        <w:jc w:val="both"/>
        <w:rPr>
          <w:rStyle w:val="Char"/>
          <w:spacing w:val="-2"/>
          <w:rtl/>
        </w:rPr>
      </w:pPr>
      <w:r w:rsidRPr="006E28E9">
        <w:rPr>
          <w:rStyle w:val="Char"/>
          <w:rFonts w:hint="cs"/>
          <w:spacing w:val="-2"/>
          <w:rtl/>
        </w:rPr>
        <w:t>من ناحية أسلوب كتابة التاريخ، فإن أسلوبنا في كتابة التاريخ في هذا الكتاب هو أسلوب ثقافي وليس سياسياً. والسبب في انتخاب هذا الأسلوب أن الكاتب يعتبر أن الثقافة هي النواة الأصلية للتاريخ، ولهذا السبب فقد سعى من خلال أسلوب النظرة التاريخية الثقافية إلى التأمل في الكتب والمقالات والأفكار وكيفية تأثيرها بالظروف التاريخية وتأثرها بها. بناء على ذلك، لا يوجد في هذا الكتاب ترتيب تاريخي زمني دقيق من حيث ترتيب الأيام بل حتى ترتيب السنوات. فعندما نتكلم عن نحلة فكرية فإننا نضطر إلى الإشارة أحياناً إلى جذورها أو إلى فروعها وتشعباتها التي تتعلق بمراحل زمنية لاحقة بعيدة المرحلة الزمنية لأصل تلك النحل الفكرية. وللأسف فقد تعودت ذهنيتنا التاريخية على التقسيمات المرحلية للتاريخ، لاسيما التقسيمات القائمة على أساس الحوادث التاريخية المعاصرة الحساسة، أي التقسيمات الشائعة في الكتب الدراسية والمدرسية. ولكن في المنهج الثقافي لتدوين التاريخ  - على الأقل - لابد من تغيير هذا الأسلوب واعتبار المراحل التاريخية هي تلك التي تدور حول محور ظهور الكتب والأفكار المهمة والكبيرة التي صاغت السياسيات اللاحقة.</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هذه الطبعة الحالية هي الطبعة الثالثة عشرة للكتاب، وقد تضمنت مرة أخرى تنقيحات وتعديلات وإضافات كثيرة مُقَارنةً بالطبعات من التاسعة وحتى الحادية عشرة التي قُدِّمَت دون إضافات. هذا وبالإضافة إلى كثير من التعديلات والإصلاحات الدقيقة، أُضيفَ عددٌ من الصفحات على أصل الكتاب أيضاً.</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خلال السنوات العشر التي مرت على ظهور هذا الكتاب، نَشِرَت عدد من الانتقادات له، يمكن تقسيمها إلى مجموعتين:  المجموعة الأولى: الانتقادات التي وُجِّهَت إلى الجانب البنيوي الشكلي من الكتاب، وأغلب هذه الانتقادات </w:t>
      </w:r>
      <w:r>
        <w:rPr>
          <w:rFonts w:cs="Times New Roman" w:hint="cs"/>
          <w:rtl/>
          <w:lang w:bidi="ar-SY"/>
        </w:rPr>
        <w:t>–</w:t>
      </w:r>
      <w:r w:rsidRPr="0092648A">
        <w:rPr>
          <w:rStyle w:val="Char"/>
          <w:rFonts w:hint="cs"/>
          <w:rtl/>
        </w:rPr>
        <w:t xml:space="preserve">تقريبًا- صحيحةٌ؛ إلا أنني أقول إن الأسلوب الخاص بالمنهج الثقافي في كتابة التاريخ، وهو أسلوب ما يزال غير مُحَدَّد المَعَالَم حتى الآن، لا يمكنه أن ينسجم مع الذهنية التاريخية العادية، وهذا الأمر هو الذي سبَّب بعض هذه الإشكالات البنيوية، لاسيما في الفصلين الأخيرين من الكتاب اللَّذَيْن اختلَّ فيهما النَّظْم التاريخي للكتاب إلى حدٍّ ما. في هذين الفصلين الأخيرين ذُكرت وجوه تنتمي لأزمنة تاريخية متباعدة جنبًا إلى جنب بشكل متوال. ومن الانتقادات من هذا النمط أيضًا القول بأن الكتاب الحالي مثله مثل الأشجار البرية التي بعض أغصانها طويل وبعضها الآخر قصير. وهذا كلام صحيح أيضًا. وسببه أنني في بعض الموارد كان تتبعي للأحداث أكثر من الموارد الأخرى وكتبت فيها أمورًا أكثر. بيد أن هذا الأمر له أيضًا سبب آخر وهو أنني كتبت أكثر عن الأمور التي لم يُكتَب عنها حتى الآن إلا القليل، في حين تركت الأمور المشهورة التي كُتِب عنها الكثير وأصبحت معروفة فلم أكتب عنها شيئًا فهذا أدى إلى عدم التوازن في حجم الموضوعات المطروحة.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النمط الثاني من الانتقادات هو الذي يتعلق بنقد المحتوى، حيث وُجِّهَت انتقادات إلى بعض فصول الكتاب. وأغلب هذه الانتقادات كان ذا خلفية إيديولوجية أو سياسية، وليس انتقادات للجانب التاريخي من الكتاب. ويعتقد الكاتب أنه إذا كانت هناك بعض المجموعات التاريخية التي لا تُعجِب بعض الناس فإن هذا لا يبرر إغفال ذكرها أو إنقاص سهمها من الكتابة في التاريخ. وفي هذا المضمار، كان لبعض أصحاب وجهات النظر الخاصة، لاسيما بعض الأفراد الذين كانوا منتفعين من بعض التيارات، انتقاداتهم الخاصة. مثلاً، لقد احتدَّ السيد ميانجي وبالغ إلى حد ما في نقد ذلك الجزء من الكتاب الذي يتعلق بحسينية الإرشاد. ولكن مهما كان الأمر فإنني أشكره لاهتمامه بكتابي. وفي هذا القسم من الانتقادات أيضاً هناك بعض الانتقادات للجانب التاريخي من الكتاب، حيث تم </w:t>
      </w:r>
      <w:r w:rsidRPr="0092648A">
        <w:rPr>
          <w:rStyle w:val="Char"/>
          <w:rFonts w:hint="cs"/>
          <w:rtl/>
        </w:rPr>
        <w:lastRenderedPageBreak/>
        <w:t>تنبيهي إلى بعض الأخطاء والإشكالات الموجودة في الكتاب حول بعض الشخصيات أو الحوادث. هذه الموارد، كانت بشكل خاص انتقادات قُدِّمَت لي بشكل خصوصي [أي لم تُعْلَن أو تُنْشَر أمام الملأ]. وأنا هنا أُعرِب عن امتناني وشكري لجميع الأعزاء الذين قدموا لي تلك الملاحظات والتي كان بعضها ذا أهمية بالغة فعلاً. وقد بذلت جهدي في تصحيح نص الكتاب على ضوء جميع الانتقادات الصحيحة التي في محلها.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وهناك انتقادات أخرى ذُكِرَت لي بشكل شفهي. ومن جملتها أن مؤلف هذا الكتاب جعل للإمام الخميني شركاء في صنع الثورة الإسلامية في إيران. ولعل السبب في هذا الموقف الذي أعرب عنه الناقد المحترم أن الكتاب الحاضر ذكر تأثير كثير من الكُتَّاب الدينيين المعاصرين، في صنع الثورة ونجاحها. وفي رأيي إن هذا الانتقاد ليس في محله؛ لأننا نعلم جميعاً أنه من حيث المبدأ، يدين تيار الإحياء الديني في إيران في عصر البهلوي الثاني إلى نشاطات عدد لا يُحصى من الأفراد ذوي الرأي وتضحياتهم. ولاشك أن سهم الإمام الراحل - رحمة الله عليه - على مستوى قيادة الثورة وجمع كل تلك النشاطات وصبها في مجرى ثوري واحد، وأهمية تلك الخطوة الشجاعة التي لا نظير لها في إسقاط نظام البهلوي والإتيان بنظام إسلامي بدلاً منه، سهم محفوظ للإمام لا يُنْتَقَصُ منه شيء.</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هناك في الطبعتين السادسة والسابعة لهذا الكتاب مجموعتين من الحواشي المنظمة، الحاشية الأولى كُتِبَت على هامش الطبعة الثالثة للكتاب والأخرى كُتِبَت على هامش الطبعة الخامسة وأُدْرِجّت في أسفل الصفحات. إحدى هاتين المجموعتين من الحواشي تعود لآية الله الخامنئي التي قُدِّمَت إلي من قِبَل مكتبه. فقد قرأ السيد الخامنئي الطبعة الثالثة من الكتاب، فالحواشي التي ذكرها تتعلق بتلك الطبعة. لكن أغلبها ينطبق كذلك على الطبعة الخامسة، ولذلك فقد أدرجتها في أماكنها الخاصة في الطبعات اللاحقة ضمن نص الكتاب. المجموعة الثانية من الحواشي هي للأستاذ جلال الدين الفارسي الذي أعطاني حواشيه مكتوبة على الطبعة الخامسة من الكتاب. وأنا ممنون لاهتمام ذينك الشخصين الكريمين بكتابي وأشكرهما على ذلك جزيل الشكر.</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وهنا أعرب عن خالص شكري وتقديري لجميع الذين أولوا هذا الكتاب اهتمامهم وأرشدوني من خلال تذكيري بأمور مهمة أو إطلاعي على وثائق جديدة وكتب مهمة وقيِّمة وهم أشخاص كثيرون سيؤدي ذكر أسمائهم جميعاً إلى إطالة هذه المقدمة كثيراً.</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وفي النهاية، إن بقيت هناك أخطاء أخرى في هذا الكتاب فإن مسؤوليتها - بكل تأكيد - تقع على </w:t>
      </w:r>
      <w:r w:rsidRPr="0092648A">
        <w:rPr>
          <w:rStyle w:val="Char"/>
          <w:rFonts w:hint="cs"/>
          <w:rtl/>
        </w:rPr>
        <w:lastRenderedPageBreak/>
        <w:t>عاتقي وحدي فقط، وآمل أن يعفو الله تعالى عني أولاً، وثانياً أن يعفو عني أولئك الذين ربما أكون قد أضعت حقهم - لا سمح الله - في هذا الكتاب ، وللأسف فإن كتابة التاريخ في زماننا، لا بل في جميع الأزمنة، هي لهذا السبب عمل شاق للغاية.</w:t>
      </w:r>
    </w:p>
    <w:p w:rsidR="00DA6CFB" w:rsidRPr="00DA6CFB" w:rsidRDefault="00DA6CFB" w:rsidP="006E28E9">
      <w:pPr>
        <w:pStyle w:val="a0"/>
        <w:ind w:left="3600"/>
        <w:jc w:val="center"/>
        <w:rPr>
          <w:rtl/>
        </w:rPr>
      </w:pPr>
      <w:r w:rsidRPr="00DA6CFB">
        <w:rPr>
          <w:rFonts w:hint="cs"/>
          <w:rtl/>
        </w:rPr>
        <w:t>14 / بهمن / 1389 هـ.ش</w:t>
      </w:r>
    </w:p>
    <w:p w:rsidR="00DA6CFB" w:rsidRDefault="00DA6CFB" w:rsidP="006E28E9">
      <w:pPr>
        <w:pStyle w:val="a0"/>
        <w:ind w:left="3600"/>
        <w:jc w:val="center"/>
        <w:rPr>
          <w:rtl/>
        </w:rPr>
      </w:pPr>
      <w:r w:rsidRPr="00DA6CFB">
        <w:rPr>
          <w:rFonts w:hint="cs"/>
          <w:rtl/>
        </w:rPr>
        <w:t>الموافق لـِ: 3 / فبراير (شباط) / 2011 م</w:t>
      </w:r>
    </w:p>
    <w:p w:rsidR="00DA6CFB" w:rsidRDefault="00DA6CFB" w:rsidP="0092648A">
      <w:pPr>
        <w:pStyle w:val="a0"/>
        <w:rPr>
          <w:rtl/>
        </w:rPr>
        <w:sectPr w:rsidR="00DA6CFB" w:rsidSect="00154F58">
          <w:headerReference w:type="default" r:id="rId15"/>
          <w:footnotePr>
            <w:numRestart w:val="eachPage"/>
          </w:footnotePr>
          <w:type w:val="oddPage"/>
          <w:pgSz w:w="9356" w:h="13608" w:code="1"/>
          <w:pgMar w:top="1021" w:right="851" w:bottom="737" w:left="851" w:header="454" w:footer="0" w:gutter="0"/>
          <w:pgNumType w:start="1"/>
          <w:cols w:space="720"/>
          <w:titlePg/>
          <w:bidi/>
          <w:rtlGutter/>
          <w:docGrid w:linePitch="360"/>
        </w:sectPr>
      </w:pPr>
    </w:p>
    <w:p w:rsidR="00DA6CFB" w:rsidRPr="00D737B5" w:rsidRDefault="00DA6CFB" w:rsidP="00DA6CFB">
      <w:pPr>
        <w:pStyle w:val="1"/>
        <w:rPr>
          <w:rtl/>
        </w:rPr>
      </w:pPr>
      <w:bookmarkStart w:id="9" w:name="_Toc444083796"/>
      <w:r w:rsidRPr="00D737B5">
        <w:rPr>
          <w:rFonts w:hint="cs"/>
          <w:rtl/>
        </w:rPr>
        <w:lastRenderedPageBreak/>
        <w:t>نبذة عن رسول جعفريان</w:t>
      </w:r>
      <w:bookmarkEnd w:id="9"/>
    </w:p>
    <w:p w:rsidR="00DA6CFB" w:rsidRPr="0092648A" w:rsidRDefault="00DA6CFB" w:rsidP="0092648A">
      <w:pPr>
        <w:spacing w:line="216" w:lineRule="auto"/>
        <w:ind w:firstLine="284"/>
        <w:jc w:val="both"/>
        <w:rPr>
          <w:rStyle w:val="Char"/>
          <w:rtl/>
        </w:rPr>
      </w:pPr>
      <w:r w:rsidRPr="0092648A">
        <w:rPr>
          <w:rStyle w:val="Char"/>
          <w:rFonts w:hint="cs"/>
          <w:rtl/>
        </w:rPr>
        <w:t>رسول جعفريان عالم دين إيراني معاصر وكاتب وباحث غزير التأليف في تاريخ إيران وتاريخ الشيعة، وهو حالياً أستاذ جامعي في قسم التاريخ في كلية الآداب في جامعة طهران كما أنه عُيِّن سنة 2009 رئيساً لمكتبة ومتحف ومركز وثائق مجلس الشورى الإسلامي (إلا أنه استقال من هذا المنصب مؤخراً في بداية العام الحالي 2013م نظراً لكثرة أشغاله ومهامه).</w:t>
      </w:r>
    </w:p>
    <w:p w:rsidR="00DA6CFB" w:rsidRPr="0092648A" w:rsidRDefault="00DA6CFB" w:rsidP="0092648A">
      <w:pPr>
        <w:spacing w:line="216" w:lineRule="auto"/>
        <w:ind w:firstLine="284"/>
        <w:jc w:val="both"/>
        <w:rPr>
          <w:rStyle w:val="Char"/>
          <w:rtl/>
        </w:rPr>
      </w:pPr>
      <w:r w:rsidRPr="0092648A">
        <w:rPr>
          <w:rStyle w:val="Char"/>
          <w:rFonts w:hint="cs"/>
          <w:rtl/>
        </w:rPr>
        <w:t>وُلِد رسول جعفريان في التاسع من شهر تير 1343 هـ.ش (الموافق لِـ 30 / 6 / 1964) في قرية خوراسكان من توابع مدينة أصفهان.</w:t>
      </w:r>
    </w:p>
    <w:p w:rsidR="00DA6CFB" w:rsidRPr="0092648A" w:rsidRDefault="00DA6CFB" w:rsidP="0092648A">
      <w:pPr>
        <w:spacing w:line="216" w:lineRule="auto"/>
        <w:ind w:firstLine="284"/>
        <w:jc w:val="both"/>
        <w:rPr>
          <w:rStyle w:val="Char"/>
          <w:rtl/>
        </w:rPr>
      </w:pPr>
      <w:r w:rsidRPr="0092648A">
        <w:rPr>
          <w:rStyle w:val="Char"/>
          <w:rFonts w:hint="cs"/>
          <w:rtl/>
        </w:rPr>
        <w:t>أنهى دراسته الإعدادية في أصفهان وأحب منذ عام 1976 تعلم العلوم الدينية الشرعية، فبدأ بدراستها في عدد من المدارس الدينية في أصفهان ثم انتقل إلى قم عام 1979م (عندما كانت الثورة على أعتاب انتصارها) ليكمل دراسته للعلوم الدينية في حوزتها العلمية. وقد درس في قم على أساتذة مثل: آية الله جوادي الآملي؛ وآية الله مصباح اليزدي؛ وآية الله الممدوحي؛ وآية الله الكرامي؛ وآية الله جعفر مرتضى العاملي (اللبناني).</w:t>
      </w:r>
    </w:p>
    <w:p w:rsidR="00DA6CFB" w:rsidRPr="0092648A" w:rsidRDefault="00DA6CFB" w:rsidP="0092648A">
      <w:pPr>
        <w:spacing w:line="216" w:lineRule="auto"/>
        <w:ind w:firstLine="284"/>
        <w:jc w:val="both"/>
        <w:rPr>
          <w:rStyle w:val="Char"/>
          <w:rtl/>
        </w:rPr>
      </w:pPr>
      <w:r w:rsidRPr="0092648A">
        <w:rPr>
          <w:rStyle w:val="Char"/>
          <w:rFonts w:hint="cs"/>
          <w:rtl/>
        </w:rPr>
        <w:t>عمل رسول جعفريان مدرساً للمعارف الإسلامية وتاريخ الإسلام في جامعة أصفهان ثم في جامعة طهران منذ عام 1981 م، وصدر له أول كتاب سنة 1986 م بعنوان (بيش درآمدي بر شناخت تاريخ اسلام) [أي مقدمة لمعرفة تاريخ الإسلام].</w:t>
      </w:r>
    </w:p>
    <w:p w:rsidR="00DA6CFB" w:rsidRPr="0092648A" w:rsidRDefault="00DA6CFB" w:rsidP="0092648A">
      <w:pPr>
        <w:spacing w:line="216" w:lineRule="auto"/>
        <w:ind w:firstLine="284"/>
        <w:jc w:val="both"/>
        <w:rPr>
          <w:rStyle w:val="Char"/>
          <w:rtl/>
        </w:rPr>
      </w:pPr>
      <w:r w:rsidRPr="0092648A">
        <w:rPr>
          <w:rStyle w:val="Char"/>
          <w:rFonts w:hint="cs"/>
          <w:rtl/>
        </w:rPr>
        <w:t>تعاون رسول جعفريان مع عدد من مؤسسات ومراكز الأبحاث وأسس مكتبة (الإسلام وإيران) في قم، واشتغل بشكل نشيط جداً بالتأليف والترجمة والتصحيح والتحقيق في تاريخ الإسلام وتاريخ التشيع وتاريخ إيران، وصدرت له عشرات الكتب والمقالات والأبحاث والدراسات.</w:t>
      </w:r>
    </w:p>
    <w:p w:rsidR="00DA6CFB" w:rsidRPr="0092648A" w:rsidRDefault="00DA6CFB" w:rsidP="0092648A">
      <w:pPr>
        <w:spacing w:line="216" w:lineRule="auto"/>
        <w:ind w:firstLine="284"/>
        <w:jc w:val="both"/>
        <w:rPr>
          <w:rStyle w:val="Char"/>
          <w:rtl/>
        </w:rPr>
      </w:pPr>
      <w:r w:rsidRPr="0092648A">
        <w:rPr>
          <w:rStyle w:val="Char"/>
          <w:rFonts w:hint="cs"/>
          <w:rtl/>
        </w:rPr>
        <w:t xml:space="preserve">يدور المحور الأساسي لأبحاث ودراسات رسول جعفريان التاريخية، بالدرجة الأولى، حول تاريخ التشيع وخاصة تاريخ الشيعة في إيران، كما اشتملت دراساته وأبحاثه على التاريخ السياسي </w:t>
      </w:r>
      <w:r w:rsidRPr="0092648A">
        <w:rPr>
          <w:rStyle w:val="Char"/>
          <w:rFonts w:hint="cs"/>
          <w:rtl/>
        </w:rPr>
        <w:lastRenderedPageBreak/>
        <w:t xml:space="preserve">لصدر الإسلام وتاريخ إيران العام لاسيما تاريخ العهد الصفوي. كما أن من الموضوعات التي اهتم بها كثيراً رصد ودراسة النزاع بين التقليد والتجدد في إيران في نصف القرن الماضي. </w:t>
      </w:r>
    </w:p>
    <w:p w:rsidR="00DA6CFB" w:rsidRPr="0092648A" w:rsidRDefault="00DA6CFB" w:rsidP="0092648A">
      <w:pPr>
        <w:spacing w:line="216" w:lineRule="auto"/>
        <w:ind w:firstLine="284"/>
        <w:jc w:val="both"/>
        <w:rPr>
          <w:rStyle w:val="Char"/>
          <w:rtl/>
        </w:rPr>
      </w:pPr>
      <w:r w:rsidRPr="0092648A">
        <w:rPr>
          <w:rStyle w:val="Char"/>
          <w:rFonts w:hint="cs"/>
          <w:rtl/>
        </w:rPr>
        <w:t xml:space="preserve">من أهم كتبه التي حاز عليها جوائز تقديرية: (1) تاريخ سياسي اسلام </w:t>
      </w:r>
      <w:r w:rsidRPr="00D84794">
        <w:rPr>
          <w:rFonts w:cs="Times New Roman" w:hint="cs"/>
          <w:rtl/>
          <w:lang w:bidi="ar-SY"/>
        </w:rPr>
        <w:t>–</w:t>
      </w:r>
      <w:r w:rsidRPr="0092648A">
        <w:rPr>
          <w:rStyle w:val="Char"/>
          <w:rFonts w:hint="cs"/>
          <w:rtl/>
        </w:rPr>
        <w:t xml:space="preserve"> سيره نبوى [تاريخ الإسلام السياسي </w:t>
      </w:r>
      <w:r w:rsidRPr="00D84794">
        <w:rPr>
          <w:rFonts w:cs="Times New Roman" w:hint="cs"/>
          <w:rtl/>
          <w:lang w:bidi="ar-SY"/>
        </w:rPr>
        <w:t>–</w:t>
      </w:r>
      <w:r w:rsidRPr="0092648A">
        <w:rPr>
          <w:rStyle w:val="Char"/>
          <w:rFonts w:hint="cs"/>
          <w:rtl/>
        </w:rPr>
        <w:t xml:space="preserve"> السيرة النبوية]. (2) أطلس الشيعة. (3) جريان ها و سازمان هاى سياسى </w:t>
      </w:r>
      <w:r w:rsidRPr="00D84794">
        <w:rPr>
          <w:rFonts w:cs="Times New Roman" w:hint="cs"/>
          <w:rtl/>
          <w:lang w:bidi="ar-SY"/>
        </w:rPr>
        <w:t>–</w:t>
      </w:r>
      <w:r w:rsidRPr="0092648A">
        <w:rPr>
          <w:rStyle w:val="Char"/>
          <w:rFonts w:hint="cs"/>
          <w:rtl/>
        </w:rPr>
        <w:t xml:space="preserve"> مذهبى ايران [التيارات والمنظمات الدينية </w:t>
      </w:r>
      <w:r w:rsidRPr="00D84794">
        <w:rPr>
          <w:rFonts w:cs="Times New Roman" w:hint="cs"/>
          <w:rtl/>
          <w:lang w:bidi="ar-SY"/>
        </w:rPr>
        <w:t>–</w:t>
      </w:r>
      <w:r w:rsidRPr="0092648A">
        <w:rPr>
          <w:rStyle w:val="Char"/>
          <w:rFonts w:hint="cs"/>
          <w:rtl/>
        </w:rPr>
        <w:t xml:space="preserve"> السياسية في إيران في الفترة بين 1941 </w:t>
      </w:r>
      <w:r w:rsidRPr="00D84794">
        <w:rPr>
          <w:rFonts w:cs="Times New Roman" w:hint="cs"/>
          <w:rtl/>
          <w:lang w:bidi="ar-SY"/>
        </w:rPr>
        <w:t>–</w:t>
      </w:r>
      <w:r w:rsidRPr="0092648A">
        <w:rPr>
          <w:rStyle w:val="Char"/>
          <w:rFonts w:hint="cs"/>
          <w:rtl/>
        </w:rPr>
        <w:t xml:space="preserve"> 1979 م] والذي يغطي المرحلة التي ابتدأت بحكم الشاه محمد رضا بهلوي وحتى انتصار الثورة الإيرانية وهو كتاب قيِّم أُعيدَت طباعته حتى الآن 13 مرة ونال جوائز تقديرية عليه مرتين. (4) 18 مجلد يضم جميع مقالاته التاريخية. (5) ومن كتبه المهمة الأخرى كتاب (تاريخ تشيع در ايران تا قرن دهم هجري) [تاريخ التشيع في إيران حتى القرن العاشر الهجري] الذي أُعيدَت طباعته عدَّة مرات حتى الآن، مع إضافات جديدة في كل طبعة حتى بلغ حجمه في الطبعة الأخيرة ثلاثة مجلدات وسعى مؤلفه فيه إلى إثبات انتشار التشيع في إيران منذ عصر الإسلام الأول وحتى قبل قيام الدولة الصفوية سعياً منه للرد على من يرون أن التشيع لم ينتشر في إيران إلا في العهد الصفوي ومن خلال الجبر والإكراه والعنف ضد أهل السنة الذي مارسه الصفويون لنشر التشيع بقوة السيف.</w:t>
      </w:r>
    </w:p>
    <w:p w:rsidR="00DA6CFB" w:rsidRPr="00DA6CFB" w:rsidRDefault="00DA6CFB" w:rsidP="0092648A">
      <w:pPr>
        <w:pStyle w:val="a0"/>
        <w:rPr>
          <w:rtl/>
          <w:lang w:bidi="ar-SY"/>
        </w:rPr>
      </w:pPr>
      <w:r w:rsidRPr="0092648A">
        <w:rPr>
          <w:rStyle w:val="Char"/>
          <w:rFonts w:hint="cs"/>
          <w:rtl/>
        </w:rPr>
        <w:t>وللأستاذ رسول جعفريان عدد كبير من الكتب الأخرى يطول ذكرها، يمكن الاطلاع على أسمائها في شبكة الإنترنت.</w:t>
      </w:r>
    </w:p>
    <w:p w:rsidR="00DA6CFB" w:rsidRDefault="00DA6CFB" w:rsidP="0092648A">
      <w:pPr>
        <w:pStyle w:val="a0"/>
        <w:rPr>
          <w:rtl/>
        </w:rPr>
      </w:pPr>
    </w:p>
    <w:p w:rsidR="00DA6CFB" w:rsidRDefault="00DA6CFB" w:rsidP="0092648A">
      <w:pPr>
        <w:pStyle w:val="a0"/>
        <w:rPr>
          <w:rtl/>
        </w:rPr>
        <w:sectPr w:rsidR="00DA6CFB" w:rsidSect="00DA6CFB">
          <w:footnotePr>
            <w:numRestart w:val="eachPage"/>
          </w:footnotePr>
          <w:pgSz w:w="9356" w:h="13608" w:code="1"/>
          <w:pgMar w:top="1021" w:right="851" w:bottom="737" w:left="851" w:header="454" w:footer="0" w:gutter="0"/>
          <w:cols w:space="720"/>
          <w:titlePg/>
          <w:bidi/>
          <w:rtlGutter/>
          <w:docGrid w:linePitch="360"/>
        </w:sectPr>
      </w:pPr>
    </w:p>
    <w:p w:rsidR="00DA6CFB" w:rsidRDefault="00DA6CFB" w:rsidP="00DA6CFB">
      <w:pPr>
        <w:pStyle w:val="1"/>
        <w:rPr>
          <w:rtl/>
        </w:rPr>
      </w:pPr>
      <w:bookmarkStart w:id="10" w:name="_Toc444083797"/>
      <w:r w:rsidRPr="007D68CA">
        <w:rPr>
          <w:rFonts w:hint="cs"/>
          <w:rtl/>
        </w:rPr>
        <w:lastRenderedPageBreak/>
        <w:t>الفصل الأول</w:t>
      </w:r>
      <w:r>
        <w:rPr>
          <w:rFonts w:hint="cs"/>
          <w:rtl/>
        </w:rPr>
        <w:t>:</w:t>
      </w:r>
      <w:r>
        <w:rPr>
          <w:rtl/>
        </w:rPr>
        <w:br/>
      </w:r>
      <w:r w:rsidRPr="007D68CA">
        <w:rPr>
          <w:rFonts w:hint="cs"/>
          <w:rtl/>
        </w:rPr>
        <w:t>عودة الدين إلى المجتمع</w:t>
      </w:r>
      <w:r w:rsidRPr="003E50E7">
        <w:rPr>
          <w:rFonts w:hint="cs"/>
          <w:rtl/>
        </w:rPr>
        <w:t xml:space="preserve"> </w:t>
      </w:r>
      <w:r>
        <w:rPr>
          <w:rFonts w:hint="cs"/>
          <w:rtl/>
        </w:rPr>
        <w:t xml:space="preserve">والمسرح </w:t>
      </w:r>
      <w:r w:rsidRPr="007D68CA">
        <w:rPr>
          <w:rFonts w:hint="cs"/>
          <w:rtl/>
        </w:rPr>
        <w:t>السياس</w:t>
      </w:r>
      <w:r>
        <w:rPr>
          <w:rFonts w:hint="cs"/>
          <w:rtl/>
        </w:rPr>
        <w:t>ي</w:t>
      </w:r>
      <w:bookmarkEnd w:id="10"/>
    </w:p>
    <w:p w:rsidR="00DA6CFB" w:rsidRPr="00620316" w:rsidRDefault="00DA6CFB" w:rsidP="0092648A">
      <w:pPr>
        <w:pStyle w:val="2"/>
        <w:rPr>
          <w:rtl/>
        </w:rPr>
      </w:pPr>
      <w:bookmarkStart w:id="11" w:name="_Toc444083798"/>
      <w:r w:rsidRPr="00620316">
        <w:rPr>
          <w:rFonts w:hint="cs"/>
          <w:rtl/>
        </w:rPr>
        <w:t>1. عودة نشاط التيارات الدينية في عقدي العشرينيات والثلاثينيات</w:t>
      </w:r>
      <w:bookmarkEnd w:id="11"/>
    </w:p>
    <w:p w:rsidR="00DA6CFB" w:rsidRPr="0092648A" w:rsidRDefault="00DA6CFB" w:rsidP="0092648A">
      <w:pPr>
        <w:widowControl w:val="0"/>
        <w:spacing w:line="216" w:lineRule="auto"/>
        <w:ind w:firstLine="284"/>
        <w:jc w:val="both"/>
        <w:rPr>
          <w:rStyle w:val="Char"/>
          <w:rtl/>
        </w:rPr>
      </w:pPr>
      <w:r w:rsidRPr="0092648A">
        <w:rPr>
          <w:rStyle w:val="Char"/>
          <w:rFonts w:hint="cs"/>
          <w:rtl/>
        </w:rPr>
        <w:t>نظرة إلى نشاط الجماعات القومية والدينية المختلفة في حوالي سنة 1300 هـ.ش/1921م يدل على أنه رغم الضربات التي وجهتها الحركة الدستورية وتيار التغريب إلى التيار الإسلامي في إيران وإلى حضور الدين في المسرح السياسي على وجه الخصوص، شرع المتديِّنون ببذل جهود حثيثة ومكثَّفة لإحياء التيار الإسلامي بطرق جديدة أساسها تطابق الدين مع الجو الفكري الجديد في الدنيا. في الواقع، لقد حدثت فجوة خلال فترة من الزمن استمرَّت حوالي 15 سنة بين علماء الدين التقليديين الذين لم يعودوا يرغبون بالمشاركة في السياسة، وعلماء الدين الذين كانوا يسعون إلى المحافظة على حضور الدين بصورة فعالة في المسرح السياسي. في كل مرَّة كانت تظهر جماعة تبذل جهودًا في هذا الاتجاه، إلا أن ظهور الأزمات السياسية، وعدم وجود النظريات والتنظيمات الضرورية لإيجاد مثل ذلك التحول أو عدم كفايتها، كان يؤدي إلى عدم وصول تلك الجهود والنشاطات إلى غايتها المطلوبة.</w:t>
      </w:r>
      <w:r w:rsidRPr="006E28E9">
        <w:rPr>
          <w:rStyle w:val="Char"/>
          <w:rFonts w:ascii="Arabic11 BT" w:hAnsi="Arabic11 BT" w:cs="Arabic11 BT"/>
          <w:vertAlign w:val="superscript"/>
          <w:rtl/>
        </w:rPr>
        <w:footnoteReference w:id="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مع مجيء المَلِك رضا شاه إلى سُدَّة الحكم اتجهت تلك النشاطات في إيران إلى الانحسار وبعد مُضِيّ فترة وجيزة من بداية حكمه أُجْبِرَتْ على التوقف بشكل كامل والانزواء. كان المتدينون في تلك الفترة لايزالون يملكون كثيرًا من القوة لذا لم يكن من الممكن إخراجهم من الساحة الاجتماعية دون ممارسة المَلِك رضا خان للبطش والإكراه.</w:t>
      </w:r>
    </w:p>
    <w:p w:rsidR="00DA6CFB" w:rsidRPr="0092648A" w:rsidRDefault="00DA6CFB" w:rsidP="0092648A">
      <w:pPr>
        <w:widowControl w:val="0"/>
        <w:spacing w:line="216" w:lineRule="auto"/>
        <w:ind w:firstLine="284"/>
        <w:jc w:val="both"/>
        <w:rPr>
          <w:rStyle w:val="Char"/>
          <w:rtl/>
        </w:rPr>
      </w:pPr>
      <w:r w:rsidRPr="0092648A">
        <w:rPr>
          <w:rStyle w:val="Char"/>
          <w:rFonts w:hint="cs"/>
          <w:rtl/>
        </w:rPr>
        <w:t>لاشك أن عهد المَلِك رضا خان كان عهد محاربة للدين والقضاء على السنن والتقاليد وعلى المؤسسات الدينية المدنية كالحوزات الدينية ومؤسسة المرجعية الشيعية. لقد كان عهدًا توقفت فيه جميع الحوزات العلمية جراء ضغوطات الشاه رضا خان واستبداده. لم يسمح إلا لأفراد قليلين من علماء الدين بالمحافظة على ارتدائهم الزي الخاص برجال الدين.</w:t>
      </w:r>
      <w:r w:rsidRPr="006E28E9">
        <w:rPr>
          <w:rStyle w:val="Char"/>
          <w:rFonts w:ascii="Arabic11 BT" w:hAnsi="Arabic11 BT" w:cs="Arabic11 BT"/>
          <w:vertAlign w:val="superscript"/>
          <w:rtl/>
        </w:rPr>
        <w:footnoteReference w:id="4"/>
      </w:r>
      <w:r w:rsidRPr="0092648A">
        <w:rPr>
          <w:rStyle w:val="Char"/>
          <w:rFonts w:hint="cs"/>
          <w:rtl/>
        </w:rPr>
        <w:t xml:space="preserve">  كانت دولة رضا خان تواصل هذه </w:t>
      </w:r>
      <w:r w:rsidRPr="0092648A">
        <w:rPr>
          <w:rStyle w:val="Char"/>
          <w:rFonts w:hint="cs"/>
          <w:rtl/>
        </w:rPr>
        <w:lastRenderedPageBreak/>
        <w:t>الضغوطات بشكل رئيسي من خلال الدعاية الإعلامية وعبر وسائل تنفيذية أيضًا، وكانت تستند في ذلك إلى نوع من النظرة العصرية التنويرية المستبدة. كان أنصار الثورة الدستورية من دعاة التحديث والعصرنة، وكانوا مؤيدون جميعًا لتلك الإجراءات؛ لذا نشاهد في كتاباتهم حول الطقوس الدينية وعلماء الدين - سواءً الشعرية منها أم النثرية -، قمة العداوة التي كانت تمارسها تلك الشريحة النخبوية في المجتمع ضد علماء الدين في الفترة الزمنية التي تلت الثورة الدستورية (1906م) وحتى شهر شهريور 1320 هـ.ش (أغسطس/آب، 1941م)</w:t>
      </w:r>
      <w:r w:rsidRPr="006E28E9">
        <w:rPr>
          <w:rStyle w:val="Char"/>
          <w:rFonts w:ascii="Arabic11 BT" w:hAnsi="Arabic11 BT" w:cs="Arabic11 BT"/>
          <w:vertAlign w:val="superscript"/>
          <w:rtl/>
        </w:rPr>
        <w:footnoteReference w:id="5"/>
      </w:r>
      <w:r w:rsidRPr="0092648A">
        <w:rPr>
          <w:rStyle w:val="Char"/>
          <w:rFonts w:hint="cs"/>
          <w:rtl/>
        </w:rPr>
        <w:t>. هنا ينبغي الانتباه إلى أن تيار التنوير والعصرنة ونشر الثقافة العصرية الحديثة في عهد رضا خان كان حكرًا على الدولة والنظام الحاكم الذي كان يسعى إلى لعب دور العقل المتحرِّر بالنسبة إلى رضا خان.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الواقع، إضافة إلى الاستبداد العصراني، صاغ المثقفون التنويريون العصريون الذين تربوا في السنوات التي تلت الثورة الدستورية، خلال فترة حكم رضا خان كلّها، الظروفَ السياسيةَ والاجتماعيةَ والثقافيةَ للمجتمع وصبغوها بصبغة معاداة رجال الدين. في هذا المجال توحَّدت الجماعات المُتَغَرِّبة كلها، سواءً اليمينية أم اليسارية، وسواءً الاشتراكية أم الماركسية المؤيدة للاتحاد السوفيتي، واجتمعت واتَّفقت على محاربة رجال الدين بل الدين نفسه وكان بينها انسجام وتنسيق في هذا المجال. وبعبارة أخرى كان اتجاه التحولات الثقافية والسياسية بعد الثورة الدستورية يسير خطوةً خطوةً لغير صالح الدين و يتّجه نحو تقليص نفوذه في المجتمع. عندما كان المثقفون العصريون ذوو التبعية الفكرية للغرب والماركسيون - رغم كل الاختلاف النظري فيما بينهم- يتحدثون في تلك الفترة الزمنية عن عوامل الانحطاط والتخلف وأسبابهما، كانوا يعتبرون أن الدين هو السبب الأصلي لهذا التخلف، وكانوا على أقل تقدير، لاسيما من وجهة نظر العصرانيين المتغربين، يرون أنه من الضروري أن يبتعد الدين عن المجتمع والسياسة. في هذه المرحلة الزمنية ترك تيار التجديد والعصرنة - الذي كانت تتم الدعاية له إما بشكل رسمي صريح أو بشكل مبطن وغير </w:t>
      </w:r>
      <w:r w:rsidRPr="0092648A">
        <w:rPr>
          <w:rStyle w:val="Char"/>
          <w:rFonts w:hint="cs"/>
          <w:rtl/>
        </w:rPr>
        <w:lastRenderedPageBreak/>
        <w:t>مباشر على مدى 50 عامًا - أثَره في المجتمع وأثمر ثمره، ونجح لأول مرة ليس في تقريب طبقة النخبة من الغرب ومظاهره فحسب بل تقريب عامة الناس وجماهير الشعب من الغرب ومظاهره أيضًا، وشُغف الناس بالغرب وأفكاره وسعوا إلى تحقيق الإصلاحات والتجدُّد والعصرنة ضمن إطار التغريب والتبعية للحضارة الغربية.</w:t>
      </w:r>
      <w:r w:rsidRPr="006E28E9">
        <w:rPr>
          <w:rStyle w:val="Char"/>
          <w:rFonts w:ascii="Arabic11 BT" w:hAnsi="Arabic11 BT" w:cs="Arabic11 BT"/>
          <w:vertAlign w:val="superscript"/>
          <w:rtl/>
        </w:rPr>
        <w:footnoteReference w:id="6"/>
      </w:r>
    </w:p>
    <w:p w:rsidR="00DA6CFB" w:rsidRPr="0092648A" w:rsidRDefault="00DA6CFB" w:rsidP="0092648A">
      <w:pPr>
        <w:widowControl w:val="0"/>
        <w:spacing w:line="216" w:lineRule="auto"/>
        <w:ind w:firstLine="284"/>
        <w:jc w:val="both"/>
        <w:rPr>
          <w:rStyle w:val="Char"/>
          <w:rtl/>
        </w:rPr>
      </w:pPr>
      <w:r w:rsidRPr="0092648A">
        <w:rPr>
          <w:rStyle w:val="Char"/>
          <w:rFonts w:hint="cs"/>
          <w:rtl/>
        </w:rPr>
        <w:t>ومن الناحية الأخرى، فقد أصبح اهتمام المفكرين والشعراء والشخصيات البارزة في هذه المرحلة، أي الأشخاص الذين أنتجهم تيار الثورة الدستورية، ليس منصبًّا على حراسة القيم والتراث والمقدسات الدينية، بل المحافظة على التراث القومي القديم والذي يُفضَّل أن يكون غير ديني أو معادٍ للدين. لقد أصبحت القومية الشوفينية المتطرفة إحدى النظريات الأساسية للسياسة الثقافية لإيران. أصبح الشعراء والشخصيات البارزة في الثقافة والفن من دعاة تمجيد القومية الإيرانية وتعظيم إيران، وطفحت دواوين شعراء مثل عشقي وعارف قزويني وبهار</w:t>
      </w:r>
      <w:r w:rsidRPr="006E28E9">
        <w:rPr>
          <w:rStyle w:val="Char"/>
          <w:rFonts w:ascii="Arabic11 BT" w:hAnsi="Arabic11 BT" w:cs="Arabic11 BT"/>
          <w:vertAlign w:val="superscript"/>
          <w:rtl/>
        </w:rPr>
        <w:footnoteReference w:id="7"/>
      </w:r>
      <w:r w:rsidRPr="0092648A">
        <w:rPr>
          <w:rStyle w:val="Char"/>
          <w:rFonts w:hint="cs"/>
          <w:rtl/>
        </w:rPr>
        <w:t xml:space="preserve"> --------</w:t>
      </w:r>
      <w:r w:rsidRPr="0092648A">
        <w:rPr>
          <w:rStyle w:val="Char"/>
          <w:rFonts w:hint="cs"/>
          <w:rtl/>
        </w:rPr>
        <w:lastRenderedPageBreak/>
        <w:t>-------- وحتى شهريار بمثل هذه الأفكار.</w:t>
      </w:r>
      <w:r w:rsidRPr="0092648A">
        <w:rPr>
          <w:rStyle w:val="Char"/>
          <w:rtl/>
        </w:rPr>
        <w:t xml:space="preserve"> </w:t>
      </w:r>
      <w:r w:rsidRPr="006E28E9">
        <w:rPr>
          <w:rStyle w:val="Char"/>
          <w:rFonts w:ascii="Arabic11 BT" w:hAnsi="Arabic11 BT" w:cs="Arabic11 BT"/>
          <w:vertAlign w:val="superscript"/>
          <w:rtl/>
        </w:rPr>
        <w:footnoteReference w:id="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وعلى كل حال، كان أغلبُ النخبة وأبناء الطبقة الوسطى في المجتمع وشريحة المثقفين المتعلمين، الناشطين في مجال السياسة والثقافة في عهد رضا خان، أشخاصًا غير متدينين بل معادين للدين </w:t>
      </w:r>
      <w:r w:rsidRPr="0092648A">
        <w:rPr>
          <w:rStyle w:val="Char"/>
          <w:rFonts w:hint="cs"/>
          <w:rtl/>
        </w:rPr>
        <w:lastRenderedPageBreak/>
        <w:t>أحيانًا. الشيء الوحيد الذي بقي من الدين والمذهب ولم يتعرض للاضمحلال، هو نوع من الرؤية الدينية المتطورة التي كانت تسعى أولاً إلى التأقلم مع التحولات العصرية الحديثة، وثانيًا اتخذت مواقف منتقدة للمذهب وكانت تهاجم الدين تحت عنوان الدفاع عن الدين الصحيح. في هذا المجال، حافظ عامة الناس على عقيدتهم الدينية التقليدية وحتى بعض المتجددين أيضًا كانوا يراعون بعض الظواهر الدينية والمذهبية. كان هذا الشعور، وكذلك وجود المرجعية وعلماء الدين، لاسيما في النجف، الجسرَ الذي نقل الجو الديني من العهد السابق إلى العهد الجديد.</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مثل هذه الأوضاع نشأ الشيوعيون وأتباع حزب «توده» الذين استطاعوا أن يجذبوا عددًا كبيرًا من المثقفين والكُتَّاب إلى شعاراتهم وأهدافهم الشعبية والجماهيرية حسب الظاهر، وابتدؤوا بممارسة نشاطهم. وبهذا ابتدأ في إيران طرح شعارات العمال، وإنقاذ الكادحين، وتحقيق الاشتراكية، ونشأة دولة العمال في الاتحاد السوفييتي، الدولة التي لم يكن أحد يعلم شيئًا بعد عن ماهيتها الحقيقية. وابتدأ نفوذ الاتحاد السوفييتي يمتد في مناطق إيران الشمالية وخاصة في ميناء «بندر أنزلي». يقول أحد طلاب تلك الفترة الزمنية أن من مفاخره أنه كان أحد الشخصَيْن اللذَيْن لم يؤمنا بالاشتراكية من أصل 22 طالب في صفه انضموا إليها.</w:t>
      </w:r>
      <w:r w:rsidRPr="006E28E9">
        <w:rPr>
          <w:rStyle w:val="Char"/>
          <w:rFonts w:ascii="Arabic11 BT" w:hAnsi="Arabic11 BT" w:cs="Arabic11 BT"/>
          <w:vertAlign w:val="superscript"/>
          <w:rtl/>
        </w:rPr>
        <w:footnoteReference w:id="9"/>
      </w:r>
    </w:p>
    <w:p w:rsidR="00DA6CFB" w:rsidRPr="0092648A" w:rsidRDefault="00DA6CFB" w:rsidP="0092648A">
      <w:pPr>
        <w:widowControl w:val="0"/>
        <w:spacing w:line="216" w:lineRule="auto"/>
        <w:ind w:firstLine="284"/>
        <w:jc w:val="both"/>
        <w:rPr>
          <w:rStyle w:val="Char"/>
          <w:rtl/>
        </w:rPr>
      </w:pPr>
      <w:r w:rsidRPr="0092648A">
        <w:rPr>
          <w:rStyle w:val="Char"/>
          <w:rFonts w:hint="cs"/>
          <w:rtl/>
        </w:rPr>
        <w:t>انتقل هذا المذهب الفكري بالتدريج من شمال إيران نحو الجنوب ووصل إلى طهران، وبعد ذهاب رضا خان مباشرةً طُرِحَت الاشتراكية بشكل جدي مِنْ قِبَلِ المثقفين اليساريين، واستطاعت أن تجذب إليها كثيرًا من الناس.</w:t>
      </w:r>
      <w:r w:rsidRPr="006E28E9">
        <w:rPr>
          <w:rStyle w:val="Char"/>
          <w:rFonts w:ascii="Arabic11 BT" w:hAnsi="Arabic11 BT" w:cs="Arabic11 BT"/>
          <w:vertAlign w:val="superscript"/>
          <w:rtl/>
        </w:rPr>
        <w:footnoteReference w:id="10"/>
      </w:r>
      <w:r w:rsidRPr="0092648A">
        <w:rPr>
          <w:rStyle w:val="Char"/>
          <w:rFonts w:hint="cs"/>
          <w:rtl/>
        </w:rPr>
        <w:t xml:space="preserve"> تواصل هذا النشاط على مدى عدة سنوات واتسع حتى خشي الناس من أن يتمكن الشيوعيون بطرقهم الحزبية الستالينية من القضاء على الدين في إيران والنجاح فيما فشل رضا خان في فعله رغم لجوئه إلى القوة والبطش. خلال عقد أو أكثر من السنوات بلغ اندفاع الشباب الدارس والمثقف نحو الماركسية واعتناقهم لها ذروتَه، مما أثار قلقًا بالغًا في نفوس المتدينين. وفي هذا الصدد أصبحت الجامعات والجو الأدبي في البلاد مسيطرًا عليها بشكل كامل ومطلق مِنْ قِبَلِ أتباع حزب توده [الشيوعيين].</w:t>
      </w:r>
      <w:r w:rsidRPr="006E28E9">
        <w:rPr>
          <w:rStyle w:val="Char"/>
          <w:rFonts w:ascii="Arabic11 BT" w:hAnsi="Arabic11 BT" w:cs="Arabic11 BT"/>
          <w:vertAlign w:val="superscript"/>
          <w:rtl/>
        </w:rPr>
        <w:footnoteReference w:id="11"/>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عندما رحل رضا خان فرح المتدينون أكثر من أي فريق آخر في المجتمع، وضربوا طبول الفرح لذهابه. لقد كانوا يحبسون أنفاسهم طول مدة حكمه التي عانوا فيها من استبداد المثقفين التنويريين، وأصبحوا برحيل رضا خان كالحمامة التي تحررت من قفصها وأخذت تحلق في الفضاء بكل حرية.</w:t>
      </w:r>
      <w:r w:rsidRPr="006E28E9">
        <w:rPr>
          <w:rStyle w:val="Char"/>
          <w:rFonts w:ascii="Arabic11 BT" w:hAnsi="Arabic11 BT" w:cs="Arabic11 BT"/>
          <w:vertAlign w:val="superscript"/>
          <w:rtl/>
        </w:rPr>
        <w:footnoteReference w:id="12"/>
      </w:r>
      <w:r w:rsidRPr="0092648A">
        <w:rPr>
          <w:rStyle w:val="Char"/>
          <w:rFonts w:hint="cs"/>
          <w:rtl/>
        </w:rPr>
        <w:t xml:space="preserve"> بالطبع كان عليهم أن يمارسوا نشاطاتهم إضافة إلى إحيائهم للطقوس والمراسم الدينية التقليدية كإقامة مجالس العزاء والمآتم [لوفيات الأئمة] وقراءة مصائب آل البيت وإقامة الاحتفالات الدينية المذهبية [بولادات الأئمة].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ذلك الزمن، كان على المتدينين الواعين أن ينصرفوا إلى عملين مهمين: الأول: مجادلة الآثار السيئة التي بقيت من معاداة الدين في العهد الرضاخاني الذي كان يقوم بدعاية معادية للدين بأنواع من الحيل والطرق ومناقشتها والرد عليها. العمل الثاني: مواجهة الإلحاد وانعدام الدين الذي يمكن أن نعتبره أكثر جدية في أربعة جهات بالتناسب مع المصاعب التي كانت موجودة:</w:t>
      </w:r>
    </w:p>
    <w:p w:rsidR="00DA6CFB" w:rsidRDefault="00DA6CFB" w:rsidP="006E28E9">
      <w:pPr>
        <w:pStyle w:val="3"/>
        <w:rPr>
          <w:rtl/>
        </w:rPr>
      </w:pPr>
      <w:bookmarkStart w:id="12" w:name="_Toc444083799"/>
      <w:r>
        <w:rPr>
          <w:rFonts w:hint="cs"/>
          <w:rtl/>
        </w:rPr>
        <w:lastRenderedPageBreak/>
        <w:t>أ: محاربة كَسْرَوِي:</w:t>
      </w:r>
      <w:bookmarkEnd w:id="12"/>
      <w:r>
        <w:rP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بالنظر إلى قلم كَسْرَوِي وقوة كتاباته وخبرته في البحث والتحقيق لاسيما في التاريخ، وإلى طرح نفسه بصورة المصلح الاجتماعي وانتقاداته لبعض التقاليد والآداب والعادات المذهبية التي لا تستند إلى أساس ديني صحيح، أخذ المتدينون وجهات نظره حول الدين والمذهب على محمل الجد واعتبروها تحدّيًا خطيرًا لهم. كانت المدارس الثانوية في ذلك الزمن تلعب تقريبًا الدور ذاته الذي تلعبه الجامعات اليوم، وقيل إن أفكار كَسْرَوِي أوجدت في جيل الشباب أمواجًا من الشك والتساؤلات التي كانت بـحاجة إلى إجابة قاطعة. ولم يكن ذلك الأمر مقتصرًا على العاصمة طهران، بل انتشر الأمر نفسه في كثير من مدن إيران الأخرى ومنها مشهد</w:t>
      </w:r>
      <w:r w:rsidRPr="006E28E9">
        <w:rPr>
          <w:rStyle w:val="Char"/>
          <w:rFonts w:ascii="Arabic11 BT" w:hAnsi="Arabic11 BT" w:cs="Arabic11 BT"/>
          <w:vertAlign w:val="superscript"/>
          <w:rtl/>
        </w:rPr>
        <w:footnoteReference w:id="13"/>
      </w:r>
      <w:r w:rsidRPr="0092648A">
        <w:rPr>
          <w:rStyle w:val="Char"/>
          <w:rFonts w:hint="cs"/>
          <w:rtl/>
        </w:rPr>
        <w:t xml:space="preserve"> وتبريز وأصفهان وغيرها حيث كان مريدو كَسْرَوِي، لاسيما بعض أساتذة المدارس الثانوية، ينشطون في نشر أفكاره.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لم يُثِرْ أي كاتب آخر حساسيةً مثل تلك الحساسية التي أثارها كَسْرَوِي في المجتمع الإيراني بعد عهد الاستبداد ودفعت المتدينين إلى بذل جهود حثيثة للدفاع عن دينهم ومذهبهم. لقد أثارت شدة لهجته ونقده الصريح للتشيع والإسلام من جهة، وسلوكه الحاد والعنيف سواء في قلمه اللاذع أو في سلوكه الأخلاقي من الجهة الأخرى، أثارت حفيظة المتدينين واستفزتهم جدًّا. يشير عبد الله كرباستشيان - مدير نبرد ملت - محقًّا إلى أن «محاربة كَسْرَوِي أحيت فينا قوة كامنة لأجل الدفاع عن ساحة الإسلام وأثارت فينا طاقة دينية قوية لم نكن نحن أنفسنا واعين لوجودها في داخلنا».</w:t>
      </w:r>
      <w:r w:rsidRPr="006E28E9">
        <w:rPr>
          <w:rStyle w:val="Char"/>
          <w:rFonts w:ascii="Arabic11 BT" w:hAnsi="Arabic11 BT" w:cs="Arabic11 BT"/>
          <w:vertAlign w:val="superscript"/>
          <w:rtl/>
        </w:rPr>
        <w:footnoteReference w:id="14"/>
      </w:r>
      <w:r w:rsidRPr="0092648A">
        <w:rPr>
          <w:rStyle w:val="Char"/>
          <w:rFonts w:hint="cs"/>
          <w:rtl/>
        </w:rPr>
        <w:t xml:space="preserve"> إضافة إلى ذلك، أضعفت سلوكيات كَسْرَوِي المنحرفة في تعامله مع الآداب الفارسية والنصوص الأدبية القديمة مكانته بين شرائح العلماء والأدباء الذين كانوا مغرمين بتلك الروائع الأدبية الفارسية العريقة. لقد كانت نقطة القوة الوحيدة لدى كَسْرَوِي كتاباته التاريخية ولكن حتى في هذا المجال أيضًا ورغم إبداعه فيه، لم تخلُ بعض أبحاثه التاريخية ومن جملتها أبحاثه بشأن تاريخ النهضة </w:t>
      </w:r>
      <w:r w:rsidRPr="0092648A">
        <w:rPr>
          <w:rStyle w:val="Char"/>
          <w:rFonts w:hint="cs"/>
          <w:rtl/>
        </w:rPr>
        <w:lastRenderedPageBreak/>
        <w:t>الدستورية من أخطاء ونقاط ضعف.</w:t>
      </w:r>
      <w:r w:rsidRPr="006E28E9">
        <w:rPr>
          <w:rStyle w:val="Char"/>
          <w:rFonts w:ascii="Arabic11 BT" w:hAnsi="Arabic11 BT" w:cs="Arabic11 BT"/>
          <w:vertAlign w:val="superscript"/>
          <w:rtl/>
        </w:rPr>
        <w:footnoteReference w:id="15"/>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بعض الحالات وبسبب عدم إيمانه بمذهب التشيع ولا برجال الدين سار كَسْرَوِي في طريق بعيد عن الإنصاف وانحطَّ بكتاباته وهبط بها عن مستوى البحث العلمي. وسوف نتعرض لاحقًا إلى بعض الهجمات والانتقادات التي وُجِّهَت إليه ومن جملة ذلك كتابات الحاج سراج الأنصاري - الذي كان من أصدقائه القدماء ثم صار من ناقديه الجدد - لاسيما كتبه: «</w:t>
      </w:r>
      <w:r w:rsidRPr="0092648A">
        <w:rPr>
          <w:rStyle w:val="Char8"/>
          <w:rFonts w:hint="cs"/>
          <w:rtl/>
        </w:rPr>
        <w:t>نبرد با ب</w:t>
      </w:r>
      <w:r w:rsidR="008C7124">
        <w:rPr>
          <w:rStyle w:val="Char8"/>
          <w:rFonts w:hint="cs"/>
          <w:rtl/>
        </w:rPr>
        <w:t>ی</w:t>
      </w:r>
      <w:r w:rsidRPr="0092648A">
        <w:rPr>
          <w:rStyle w:val="Char8"/>
          <w:rFonts w:hint="cs"/>
          <w:rtl/>
        </w:rPr>
        <w:t>‌د</w:t>
      </w:r>
      <w:r w:rsidR="008C7124">
        <w:rPr>
          <w:rStyle w:val="Char8"/>
          <w:rFonts w:hint="cs"/>
          <w:rtl/>
        </w:rPr>
        <w:t>ی</w:t>
      </w:r>
      <w:r w:rsidRPr="0092648A">
        <w:rPr>
          <w:rStyle w:val="Char8"/>
          <w:rFonts w:hint="cs"/>
          <w:rtl/>
        </w:rPr>
        <w:t>نى</w:t>
      </w:r>
      <w:r w:rsidRPr="0092648A">
        <w:rPr>
          <w:rStyle w:val="Char"/>
          <w:rFonts w:hint="cs"/>
          <w:rtl/>
        </w:rPr>
        <w:t>» [محاربة الإلحاد]، و «</w:t>
      </w:r>
      <w:r w:rsidRPr="0092648A">
        <w:rPr>
          <w:rStyle w:val="Char8"/>
          <w:rFonts w:hint="cs"/>
          <w:rtl/>
        </w:rPr>
        <w:t>ش</w:t>
      </w:r>
      <w:r w:rsidR="008C7124">
        <w:rPr>
          <w:rStyle w:val="Char8"/>
          <w:rFonts w:hint="cs"/>
          <w:rtl/>
        </w:rPr>
        <w:t>ی</w:t>
      </w:r>
      <w:r w:rsidRPr="0092648A">
        <w:rPr>
          <w:rStyle w:val="Char8"/>
          <w:rFonts w:hint="cs"/>
          <w:rtl/>
        </w:rPr>
        <w:t>عه چه مى‌گو</w:t>
      </w:r>
      <w:r w:rsidR="008C7124">
        <w:rPr>
          <w:rStyle w:val="Char8"/>
          <w:rFonts w:hint="cs"/>
          <w:rtl/>
        </w:rPr>
        <w:t>ی</w:t>
      </w:r>
      <w:r w:rsidRPr="0092648A">
        <w:rPr>
          <w:rStyle w:val="Char8"/>
          <w:rFonts w:hint="cs"/>
          <w:rtl/>
        </w:rPr>
        <w:t>د</w:t>
      </w:r>
      <w:r w:rsidRPr="0092648A">
        <w:rPr>
          <w:rStyle w:val="Char"/>
          <w:rFonts w:hint="cs"/>
          <w:rtl/>
        </w:rPr>
        <w:t>؟» [ماذا يقول الشيعة؟]، بالإضافة إلى الخطوات العملية المحاربة له التي قامت بها جماعة فدائيان إسلام، ولكن هناك بالإضافة إلى كل ما ذُكِر كتابات ومؤلفات أخرى كُتِبَت في نقده ويمكننا من خلال مرور سريع على بعضها أن نبيِّن الاعتراضات الفكرية التي ظهرت في المجتمع الإسلامي في إيران ضدّ كَسْرَوِي والتي أدت في نهاية المطاف إلى تقوية موقف الدين: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 xml:space="preserve">چند سؤال از </w:t>
      </w:r>
      <w:r w:rsidR="008C7124">
        <w:rPr>
          <w:rStyle w:val="Char8"/>
          <w:rFonts w:hint="cs"/>
          <w:rtl/>
        </w:rPr>
        <w:t>ک</w:t>
      </w:r>
      <w:r w:rsidRPr="0092648A">
        <w:rPr>
          <w:rStyle w:val="Char8"/>
          <w:rFonts w:hint="cs"/>
          <w:rtl/>
        </w:rPr>
        <w:t>سروى</w:t>
      </w:r>
      <w:r w:rsidRPr="0092648A">
        <w:rPr>
          <w:rStyle w:val="Char"/>
          <w:rFonts w:hint="cs"/>
          <w:rtl/>
        </w:rPr>
        <w:t>» [بضعة أسئلة موجهة إلى كَسْرَوِي]، محمود زرندي، طهران، مطبعة طلوع، مرداد 1323 هـ.ش./1944م.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نام</w:t>
      </w:r>
      <w:r w:rsidRPr="0092648A">
        <w:rPr>
          <w:rStyle w:val="Char8"/>
          <w:rFonts w:hint="cs"/>
          <w:rtl/>
        </w:rPr>
        <w:t>ه</w:t>
      </w:r>
      <w:r w:rsidRPr="0092648A">
        <w:rPr>
          <w:rStyle w:val="Char8"/>
          <w:rtl/>
        </w:rPr>
        <w:t xml:space="preserve"> سرگشاد</w:t>
      </w:r>
      <w:r w:rsidRPr="0092648A">
        <w:rPr>
          <w:rStyle w:val="Char8"/>
          <w:rFonts w:hint="cs"/>
          <w:rtl/>
        </w:rPr>
        <w:t>ه</w:t>
      </w:r>
      <w:r w:rsidRPr="0092648A">
        <w:rPr>
          <w:rStyle w:val="Char8"/>
          <w:rtl/>
        </w:rPr>
        <w:t xml:space="preserve"> عبد الله آتش</w:t>
      </w:r>
      <w:r w:rsidR="008C7124">
        <w:rPr>
          <w:rStyle w:val="Char8"/>
          <w:rtl/>
        </w:rPr>
        <w:t>ک</w:t>
      </w:r>
      <w:r w:rsidRPr="0092648A">
        <w:rPr>
          <w:rStyle w:val="Char8"/>
          <w:rtl/>
        </w:rPr>
        <w:t>د</w:t>
      </w:r>
      <w:r w:rsidR="008C7124">
        <w:rPr>
          <w:rStyle w:val="Char8"/>
          <w:rtl/>
        </w:rPr>
        <w:t>ی</w:t>
      </w:r>
      <w:r w:rsidRPr="0092648A">
        <w:rPr>
          <w:rStyle w:val="Char8"/>
          <w:rtl/>
        </w:rPr>
        <w:t xml:space="preserve"> در پاسخ ترهات ناس</w:t>
      </w:r>
      <w:r w:rsidR="008C7124">
        <w:rPr>
          <w:rStyle w:val="Char8"/>
          <w:rtl/>
        </w:rPr>
        <w:t>ی</w:t>
      </w:r>
      <w:r w:rsidRPr="0092648A">
        <w:rPr>
          <w:rStyle w:val="Char8"/>
          <w:rtl/>
        </w:rPr>
        <w:t xml:space="preserve">د احمد </w:t>
      </w:r>
      <w:r w:rsidR="008C7124">
        <w:rPr>
          <w:rStyle w:val="Char8"/>
          <w:rtl/>
        </w:rPr>
        <w:t>ک</w:t>
      </w:r>
      <w:r w:rsidRPr="0092648A">
        <w:rPr>
          <w:rStyle w:val="Char8"/>
          <w:rtl/>
        </w:rPr>
        <w:t>سرو</w:t>
      </w:r>
      <w:r w:rsidR="008C7124">
        <w:rPr>
          <w:rStyle w:val="Char8"/>
          <w:rtl/>
        </w:rPr>
        <w:t>ی</w:t>
      </w:r>
      <w:r w:rsidRPr="0092648A">
        <w:rPr>
          <w:rStyle w:val="Char"/>
          <w:rFonts w:hint="cs"/>
          <w:rtl/>
        </w:rPr>
        <w:t>» [رسالة عبد الله آتشكدي المفتوحة في الرد على ترهات اللاسيد احمد كسروي]</w:t>
      </w:r>
      <w:r w:rsidRPr="0092648A">
        <w:rPr>
          <w:rStyle w:val="Char"/>
          <w:rtl/>
        </w:rPr>
        <w:t xml:space="preserve">، </w:t>
      </w:r>
      <w:r w:rsidRPr="0092648A">
        <w:rPr>
          <w:rStyle w:val="Char"/>
          <w:rFonts w:hint="cs"/>
          <w:rtl/>
        </w:rPr>
        <w:t>الأ</w:t>
      </w:r>
      <w:r w:rsidRPr="0092648A">
        <w:rPr>
          <w:rStyle w:val="Char"/>
          <w:rtl/>
        </w:rPr>
        <w:t>هواز، صافي، 1323</w:t>
      </w:r>
      <w:r w:rsidRPr="0092648A">
        <w:rPr>
          <w:rStyle w:val="Char"/>
          <w:rFonts w:hint="cs"/>
          <w:rtl/>
        </w:rPr>
        <w:t xml:space="preserve"> هـ.ش/1944م.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ت</w:t>
      </w:r>
      <w:r w:rsidR="008C7124">
        <w:rPr>
          <w:rStyle w:val="Char8"/>
          <w:rtl/>
        </w:rPr>
        <w:t>ی</w:t>
      </w:r>
      <w:r w:rsidRPr="0092648A">
        <w:rPr>
          <w:rStyle w:val="Char8"/>
          <w:rtl/>
        </w:rPr>
        <w:t>شه بر بن</w:t>
      </w:r>
      <w:r w:rsidR="008C7124">
        <w:rPr>
          <w:rStyle w:val="Char8"/>
          <w:rtl/>
        </w:rPr>
        <w:t>ی</w:t>
      </w:r>
      <w:r w:rsidRPr="0092648A">
        <w:rPr>
          <w:rStyle w:val="Char8"/>
          <w:rtl/>
        </w:rPr>
        <w:t xml:space="preserve">اد </w:t>
      </w:r>
      <w:r w:rsidR="008C7124">
        <w:rPr>
          <w:rStyle w:val="Char8"/>
          <w:rtl/>
        </w:rPr>
        <w:t>ک</w:t>
      </w:r>
      <w:r w:rsidRPr="0092648A">
        <w:rPr>
          <w:rStyle w:val="Char8"/>
          <w:rtl/>
        </w:rPr>
        <w:t>سرو</w:t>
      </w:r>
      <w:r w:rsidR="008C7124">
        <w:rPr>
          <w:rStyle w:val="Char8"/>
          <w:rtl/>
        </w:rPr>
        <w:t>ی</w:t>
      </w:r>
      <w:r w:rsidRPr="0092648A">
        <w:rPr>
          <w:rStyle w:val="Char"/>
          <w:rFonts w:hint="cs"/>
          <w:rtl/>
        </w:rPr>
        <w:t>» [اجتثاث بناء كسروي من جذوره]</w:t>
      </w:r>
      <w:r w:rsidRPr="0092648A">
        <w:rPr>
          <w:rStyle w:val="Char"/>
          <w:rtl/>
        </w:rPr>
        <w:t xml:space="preserve">، تقي </w:t>
      </w:r>
      <w:r w:rsidRPr="0092648A">
        <w:rPr>
          <w:rStyle w:val="Char"/>
          <w:rFonts w:hint="cs"/>
          <w:rtl/>
        </w:rPr>
        <w:t>أ</w:t>
      </w:r>
      <w:r w:rsidRPr="0092648A">
        <w:rPr>
          <w:rStyle w:val="Char"/>
          <w:rtl/>
        </w:rPr>
        <w:t>ديب پور دبستاني، شيراز، اردبيشهت 1324</w:t>
      </w:r>
      <w:r w:rsidRPr="0092648A">
        <w:rPr>
          <w:rStyle w:val="Char"/>
          <w:rFonts w:hint="cs"/>
          <w:rtl/>
        </w:rPr>
        <w:t xml:space="preserve"> هـ.ش/1945م.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008C7124">
        <w:rPr>
          <w:rStyle w:val="Char8"/>
          <w:rtl/>
        </w:rPr>
        <w:t>ک</w:t>
      </w:r>
      <w:r w:rsidRPr="0092648A">
        <w:rPr>
          <w:rStyle w:val="Char8"/>
          <w:rtl/>
        </w:rPr>
        <w:t>جرو</w:t>
      </w:r>
      <w:r w:rsidR="008C7124">
        <w:rPr>
          <w:rStyle w:val="Char8"/>
          <w:rtl/>
        </w:rPr>
        <w:t>ی</w:t>
      </w:r>
      <w:r w:rsidRPr="0092648A">
        <w:rPr>
          <w:rStyle w:val="Char8"/>
          <w:rtl/>
        </w:rPr>
        <w:t xml:space="preserve"> ها</w:t>
      </w:r>
      <w:r w:rsidR="008C7124">
        <w:rPr>
          <w:rStyle w:val="Char8"/>
          <w:rtl/>
        </w:rPr>
        <w:t>ی</w:t>
      </w:r>
      <w:r w:rsidRPr="0092648A">
        <w:rPr>
          <w:rStyle w:val="Char8"/>
          <w:rtl/>
        </w:rPr>
        <w:t xml:space="preserve"> </w:t>
      </w:r>
      <w:r w:rsidR="008C7124">
        <w:rPr>
          <w:rStyle w:val="Char8"/>
          <w:rtl/>
        </w:rPr>
        <w:t>ک</w:t>
      </w:r>
      <w:r w:rsidRPr="0092648A">
        <w:rPr>
          <w:rStyle w:val="Char8"/>
          <w:rtl/>
        </w:rPr>
        <w:t>سرو</w:t>
      </w:r>
      <w:r w:rsidR="008C7124">
        <w:rPr>
          <w:rStyle w:val="Char8"/>
          <w:rtl/>
        </w:rPr>
        <w:t>ی</w:t>
      </w:r>
      <w:r w:rsidRPr="0092648A">
        <w:rPr>
          <w:rStyle w:val="Char8"/>
          <w:rtl/>
        </w:rPr>
        <w:t>، جلد اول اسلام آ</w:t>
      </w:r>
      <w:r w:rsidR="008C7124">
        <w:rPr>
          <w:rStyle w:val="Char8"/>
          <w:rtl/>
        </w:rPr>
        <w:t>یی</w:t>
      </w:r>
      <w:r w:rsidRPr="0092648A">
        <w:rPr>
          <w:rStyle w:val="Char8"/>
          <w:rtl/>
        </w:rPr>
        <w:t>ن رستگار</w:t>
      </w:r>
      <w:r w:rsidR="008C7124">
        <w:rPr>
          <w:rStyle w:val="Char8"/>
          <w:rtl/>
        </w:rPr>
        <w:t>ی</w:t>
      </w:r>
      <w:r w:rsidRPr="0092648A">
        <w:rPr>
          <w:rStyle w:val="Char"/>
          <w:rFonts w:hint="cs"/>
          <w:rtl/>
        </w:rPr>
        <w:t>» [انحرافات كسروي، المجلد الأول: الإسلام دين الفلاح]</w:t>
      </w:r>
      <w:r w:rsidRPr="0092648A">
        <w:rPr>
          <w:rStyle w:val="Char"/>
          <w:rtl/>
        </w:rPr>
        <w:t xml:space="preserve">، فرهنگ نخعي، </w:t>
      </w:r>
      <w:r w:rsidRPr="0092648A">
        <w:rPr>
          <w:rStyle w:val="Char"/>
          <w:rFonts w:hint="cs"/>
          <w:rtl/>
        </w:rPr>
        <w:t>طه</w:t>
      </w:r>
      <w:r w:rsidRPr="0092648A">
        <w:rPr>
          <w:rStyle w:val="Char"/>
          <w:rtl/>
        </w:rPr>
        <w:t>ران، 1335</w:t>
      </w:r>
      <w:r w:rsidRPr="0092648A">
        <w:rPr>
          <w:rStyle w:val="Char"/>
          <w:rFonts w:hint="cs"/>
          <w:rtl/>
        </w:rPr>
        <w:t xml:space="preserve"> هـ.ش/1956م.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پندار پرور</w:t>
      </w:r>
      <w:r w:rsidR="008C7124">
        <w:rPr>
          <w:rStyle w:val="Char8"/>
          <w:rtl/>
        </w:rPr>
        <w:t>ی</w:t>
      </w:r>
      <w:r w:rsidRPr="0092648A">
        <w:rPr>
          <w:rStyle w:val="Char8"/>
          <w:rtl/>
        </w:rPr>
        <w:t xml:space="preserve"> </w:t>
      </w:r>
      <w:r w:rsidR="008C7124">
        <w:rPr>
          <w:rStyle w:val="Char8"/>
          <w:rtl/>
        </w:rPr>
        <w:t>ی</w:t>
      </w:r>
      <w:r w:rsidRPr="0092648A">
        <w:rPr>
          <w:rStyle w:val="Char8"/>
          <w:rtl/>
        </w:rPr>
        <w:t>ا بخش</w:t>
      </w:r>
      <w:r w:rsidR="008C7124">
        <w:rPr>
          <w:rStyle w:val="Char8"/>
          <w:rtl/>
        </w:rPr>
        <w:t>ی</w:t>
      </w:r>
      <w:r w:rsidRPr="0092648A">
        <w:rPr>
          <w:rStyle w:val="Char8"/>
          <w:rtl/>
        </w:rPr>
        <w:t xml:space="preserve"> از داور</w:t>
      </w:r>
      <w:r w:rsidR="008C7124">
        <w:rPr>
          <w:rStyle w:val="Char8"/>
          <w:rtl/>
        </w:rPr>
        <w:t>ی</w:t>
      </w:r>
      <w:r w:rsidRPr="0092648A">
        <w:rPr>
          <w:rStyle w:val="Char8"/>
          <w:rFonts w:hint="cs"/>
          <w:rtl/>
        </w:rPr>
        <w:t>‌ه</w:t>
      </w:r>
      <w:r w:rsidRPr="0092648A">
        <w:rPr>
          <w:rStyle w:val="Char8"/>
          <w:rtl/>
        </w:rPr>
        <w:t>ا</w:t>
      </w:r>
      <w:r w:rsidR="008C7124">
        <w:rPr>
          <w:rStyle w:val="Char8"/>
          <w:rtl/>
        </w:rPr>
        <w:t>ی</w:t>
      </w:r>
      <w:r w:rsidRPr="0092648A">
        <w:rPr>
          <w:rStyle w:val="Char8"/>
          <w:rtl/>
        </w:rPr>
        <w:t xml:space="preserve"> </w:t>
      </w:r>
      <w:r w:rsidR="008C7124">
        <w:rPr>
          <w:rStyle w:val="Char8"/>
          <w:rtl/>
        </w:rPr>
        <w:t>ک</w:t>
      </w:r>
      <w:r w:rsidRPr="0092648A">
        <w:rPr>
          <w:rStyle w:val="Char8"/>
          <w:rtl/>
        </w:rPr>
        <w:t>سرو</w:t>
      </w:r>
      <w:r w:rsidR="008C7124">
        <w:rPr>
          <w:rStyle w:val="Char8"/>
          <w:rtl/>
        </w:rPr>
        <w:t>ی</w:t>
      </w:r>
      <w:r w:rsidRPr="0092648A">
        <w:rPr>
          <w:rStyle w:val="Char8"/>
          <w:rtl/>
        </w:rPr>
        <w:t xml:space="preserve"> در بار</w:t>
      </w:r>
      <w:r w:rsidRPr="0092648A">
        <w:rPr>
          <w:rStyle w:val="Char8"/>
          <w:rFonts w:hint="cs"/>
          <w:rtl/>
        </w:rPr>
        <w:t>ه</w:t>
      </w:r>
      <w:r w:rsidRPr="0092648A">
        <w:rPr>
          <w:rStyle w:val="Char8"/>
          <w:rtl/>
        </w:rPr>
        <w:t xml:space="preserve"> دانش</w:t>
      </w:r>
      <w:r w:rsidRPr="0092648A">
        <w:rPr>
          <w:rStyle w:val="Char8"/>
          <w:rFonts w:hint="cs"/>
          <w:rtl/>
        </w:rPr>
        <w:t>‌</w:t>
      </w:r>
      <w:r w:rsidRPr="0092648A">
        <w:rPr>
          <w:rStyle w:val="Char8"/>
          <w:rtl/>
        </w:rPr>
        <w:t>ها</w:t>
      </w:r>
      <w:r w:rsidRPr="0092648A">
        <w:rPr>
          <w:rStyle w:val="Char"/>
          <w:rFonts w:hint="cs"/>
          <w:rtl/>
        </w:rPr>
        <w:t>» [ظنون كسروي أو جزء من آرائه حول العلوم]</w:t>
      </w:r>
      <w:r w:rsidRPr="0092648A">
        <w:rPr>
          <w:rStyle w:val="Char"/>
          <w:rtl/>
        </w:rPr>
        <w:t xml:space="preserve">، رضا </w:t>
      </w:r>
      <w:r w:rsidRPr="0092648A">
        <w:rPr>
          <w:rStyle w:val="Char"/>
          <w:rFonts w:hint="cs"/>
          <w:rtl/>
        </w:rPr>
        <w:t>أ</w:t>
      </w:r>
      <w:r w:rsidRPr="0092648A">
        <w:rPr>
          <w:rStyle w:val="Char"/>
          <w:rtl/>
        </w:rPr>
        <w:t xml:space="preserve">صفهاني فراهاني، </w:t>
      </w:r>
      <w:r w:rsidRPr="0092648A">
        <w:rPr>
          <w:rStyle w:val="Char"/>
          <w:rFonts w:hint="cs"/>
          <w:rtl/>
        </w:rPr>
        <w:t>ط</w:t>
      </w:r>
      <w:r w:rsidRPr="0092648A">
        <w:rPr>
          <w:rStyle w:val="Char"/>
          <w:rtl/>
        </w:rPr>
        <w:t>هران، 1343</w:t>
      </w:r>
      <w:r w:rsidRPr="0092648A">
        <w:rPr>
          <w:rStyle w:val="Char"/>
          <w:rFonts w:hint="cs"/>
          <w:rtl/>
        </w:rPr>
        <w:t>هـ.</w:t>
      </w:r>
      <w:r w:rsidRPr="0092648A">
        <w:rPr>
          <w:rStyle w:val="Char"/>
          <w:rtl/>
        </w:rPr>
        <w:t>ش</w:t>
      </w:r>
      <w:r w:rsidRPr="0092648A">
        <w:rPr>
          <w:rStyle w:val="Char"/>
          <w:rFonts w:hint="cs"/>
          <w:rtl/>
        </w:rPr>
        <w:t>/1964م.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تحق</w:t>
      </w:r>
      <w:r w:rsidR="008C7124">
        <w:rPr>
          <w:rStyle w:val="Char8"/>
          <w:rtl/>
        </w:rPr>
        <w:t>ی</w:t>
      </w:r>
      <w:r w:rsidRPr="0092648A">
        <w:rPr>
          <w:rStyle w:val="Char8"/>
          <w:rtl/>
        </w:rPr>
        <w:t>ق در تار</w:t>
      </w:r>
      <w:r w:rsidR="008C7124">
        <w:rPr>
          <w:rStyle w:val="Char8"/>
          <w:rtl/>
        </w:rPr>
        <w:t>ی</w:t>
      </w:r>
      <w:r w:rsidRPr="0092648A">
        <w:rPr>
          <w:rStyle w:val="Char8"/>
          <w:rtl/>
        </w:rPr>
        <w:t>خ وفلسف</w:t>
      </w:r>
      <w:r w:rsidR="008C7124">
        <w:rPr>
          <w:rStyle w:val="Char8"/>
          <w:rtl/>
        </w:rPr>
        <w:t>ۀ</w:t>
      </w:r>
      <w:r w:rsidRPr="0092648A">
        <w:rPr>
          <w:rStyle w:val="Char8"/>
          <w:rtl/>
        </w:rPr>
        <w:t xml:space="preserve"> باب</w:t>
      </w:r>
      <w:r w:rsidR="008C7124">
        <w:rPr>
          <w:rStyle w:val="Char8"/>
          <w:rtl/>
        </w:rPr>
        <w:t>ی</w:t>
      </w:r>
      <w:r w:rsidRPr="0092648A">
        <w:rPr>
          <w:rStyle w:val="Char8"/>
          <w:rFonts w:hint="cs"/>
          <w:rtl/>
        </w:rPr>
        <w:t>‌</w:t>
      </w:r>
      <w:r w:rsidRPr="0092648A">
        <w:rPr>
          <w:rStyle w:val="Char8"/>
          <w:rtl/>
        </w:rPr>
        <w:t>گر</w:t>
      </w:r>
      <w:r w:rsidR="008C7124">
        <w:rPr>
          <w:rStyle w:val="Char8"/>
          <w:rtl/>
        </w:rPr>
        <w:t>ی</w:t>
      </w:r>
      <w:r w:rsidRPr="0092648A">
        <w:rPr>
          <w:rStyle w:val="Char8"/>
          <w:rtl/>
        </w:rPr>
        <w:t>، بها</w:t>
      </w:r>
      <w:r w:rsidR="008C7124">
        <w:rPr>
          <w:rStyle w:val="Char8"/>
          <w:rtl/>
        </w:rPr>
        <w:t>یی</w:t>
      </w:r>
      <w:r w:rsidRPr="0092648A">
        <w:rPr>
          <w:rStyle w:val="Char8"/>
          <w:rFonts w:hint="cs"/>
          <w:rtl/>
        </w:rPr>
        <w:t>‌</w:t>
      </w:r>
      <w:r w:rsidRPr="0092648A">
        <w:rPr>
          <w:rStyle w:val="Char8"/>
          <w:rtl/>
        </w:rPr>
        <w:t>گر</w:t>
      </w:r>
      <w:r w:rsidR="008C7124">
        <w:rPr>
          <w:rStyle w:val="Char8"/>
          <w:rtl/>
        </w:rPr>
        <w:t>ی</w:t>
      </w:r>
      <w:r w:rsidRPr="0092648A">
        <w:rPr>
          <w:rStyle w:val="Char8"/>
          <w:rtl/>
        </w:rPr>
        <w:t xml:space="preserve"> و</w:t>
      </w:r>
      <w:r w:rsidR="008C7124">
        <w:rPr>
          <w:rStyle w:val="Char8"/>
          <w:rtl/>
        </w:rPr>
        <w:t>ک</w:t>
      </w:r>
      <w:r w:rsidRPr="0092648A">
        <w:rPr>
          <w:rStyle w:val="Char8"/>
          <w:rtl/>
        </w:rPr>
        <w:t>سرو</w:t>
      </w:r>
      <w:r w:rsidR="008C7124">
        <w:rPr>
          <w:rStyle w:val="Char8"/>
          <w:rtl/>
        </w:rPr>
        <w:t>ی</w:t>
      </w:r>
      <w:r w:rsidRPr="0092648A">
        <w:rPr>
          <w:rStyle w:val="Char8"/>
          <w:rFonts w:hint="cs"/>
          <w:rtl/>
        </w:rPr>
        <w:t>‌</w:t>
      </w:r>
      <w:r w:rsidRPr="0092648A">
        <w:rPr>
          <w:rStyle w:val="Char8"/>
          <w:rtl/>
        </w:rPr>
        <w:t>گرا</w:t>
      </w:r>
      <w:r w:rsidR="008C7124">
        <w:rPr>
          <w:rStyle w:val="Char8"/>
          <w:rtl/>
        </w:rPr>
        <w:t>یی</w:t>
      </w:r>
      <w:r w:rsidRPr="0092648A">
        <w:rPr>
          <w:rStyle w:val="Char"/>
          <w:rFonts w:hint="cs"/>
          <w:rtl/>
        </w:rPr>
        <w:t xml:space="preserve">» [بحث حول تاريخ وفلسفة </w:t>
      </w:r>
      <w:r w:rsidRPr="0092648A">
        <w:rPr>
          <w:rStyle w:val="Char"/>
          <w:rFonts w:hint="cs"/>
          <w:rtl/>
        </w:rPr>
        <w:lastRenderedPageBreak/>
        <w:t>البابية والبهائية والكسروية]</w:t>
      </w:r>
      <w:r w:rsidRPr="0092648A">
        <w:rPr>
          <w:rStyle w:val="Char"/>
          <w:rtl/>
        </w:rPr>
        <w:t xml:space="preserve">، يوسف فضايي، </w:t>
      </w:r>
      <w:r w:rsidRPr="0092648A">
        <w:rPr>
          <w:rStyle w:val="Char"/>
          <w:rFonts w:hint="cs"/>
          <w:rtl/>
        </w:rPr>
        <w:t>ط</w:t>
      </w:r>
      <w:r w:rsidRPr="0092648A">
        <w:rPr>
          <w:rStyle w:val="Char"/>
          <w:rtl/>
        </w:rPr>
        <w:t>هران، فرخي، 1351</w:t>
      </w:r>
      <w:r w:rsidRPr="0092648A">
        <w:rPr>
          <w:rStyle w:val="Char"/>
          <w:rFonts w:hint="cs"/>
          <w:rtl/>
        </w:rPr>
        <w:t xml:space="preserve"> هـ.ش/1972م</w:t>
      </w:r>
      <w:r w:rsidRPr="0092648A">
        <w:rPr>
          <w:rStyle w:val="Char"/>
          <w:rtl/>
        </w:rPr>
        <w:t>، 274</w:t>
      </w:r>
      <w:r w:rsidRPr="0092648A">
        <w:rPr>
          <w:rStyle w:val="Char"/>
          <w:rFonts w:hint="cs"/>
          <w:rtl/>
        </w:rPr>
        <w:t xml:space="preserve"> </w:t>
      </w:r>
      <w:r w:rsidRPr="0092648A">
        <w:rPr>
          <w:rStyle w:val="Char"/>
          <w:rtl/>
        </w:rPr>
        <w:t>ص.</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 xml:space="preserve">احمد </w:t>
      </w:r>
      <w:r w:rsidR="008C7124">
        <w:rPr>
          <w:rStyle w:val="Char8"/>
          <w:rtl/>
        </w:rPr>
        <w:t>ک</w:t>
      </w:r>
      <w:r w:rsidRPr="0092648A">
        <w:rPr>
          <w:rStyle w:val="Char8"/>
          <w:rtl/>
        </w:rPr>
        <w:t>سرو</w:t>
      </w:r>
      <w:r w:rsidR="008C7124">
        <w:rPr>
          <w:rStyle w:val="Char8"/>
          <w:rtl/>
        </w:rPr>
        <w:t>ی</w:t>
      </w:r>
      <w:r w:rsidRPr="0092648A">
        <w:rPr>
          <w:rStyle w:val="Char8"/>
          <w:rtl/>
        </w:rPr>
        <w:t xml:space="preserve"> ونمونه</w:t>
      </w:r>
      <w:r w:rsidRPr="0092648A">
        <w:rPr>
          <w:rStyle w:val="Char8"/>
          <w:rFonts w:hint="cs"/>
          <w:rtl/>
        </w:rPr>
        <w:t>‌</w:t>
      </w:r>
      <w:r w:rsidRPr="0092648A">
        <w:rPr>
          <w:rStyle w:val="Char8"/>
          <w:rtl/>
        </w:rPr>
        <w:t>ها</w:t>
      </w:r>
      <w:r w:rsidR="008C7124">
        <w:rPr>
          <w:rStyle w:val="Char8"/>
          <w:rtl/>
        </w:rPr>
        <w:t>یی</w:t>
      </w:r>
      <w:r w:rsidRPr="0092648A">
        <w:rPr>
          <w:rStyle w:val="Char8"/>
          <w:rtl/>
        </w:rPr>
        <w:t xml:space="preserve"> از عقا</w:t>
      </w:r>
      <w:r w:rsidR="008C7124">
        <w:rPr>
          <w:rStyle w:val="Char8"/>
          <w:rtl/>
        </w:rPr>
        <w:t>ی</w:t>
      </w:r>
      <w:r w:rsidRPr="0092648A">
        <w:rPr>
          <w:rStyle w:val="Char8"/>
          <w:rtl/>
        </w:rPr>
        <w:t>د و</w:t>
      </w:r>
      <w:r w:rsidR="008C7124">
        <w:rPr>
          <w:rStyle w:val="Char8"/>
          <w:rtl/>
        </w:rPr>
        <w:t>ی</w:t>
      </w:r>
      <w:r w:rsidRPr="0092648A">
        <w:rPr>
          <w:rStyle w:val="Char"/>
          <w:rFonts w:hint="cs"/>
          <w:rtl/>
        </w:rPr>
        <w:t>» [أحمد كسروي ونماذج من عقائده]</w:t>
      </w:r>
      <w:r w:rsidRPr="0092648A">
        <w:rPr>
          <w:rStyle w:val="Char"/>
          <w:rtl/>
        </w:rPr>
        <w:t>، نور الله طبائي، قم، در راه انقلاب فكري اسلامي، 1344</w:t>
      </w:r>
      <w:r w:rsidRPr="0092648A">
        <w:rPr>
          <w:rStyle w:val="Char"/>
          <w:rFonts w:hint="cs"/>
          <w:rtl/>
        </w:rPr>
        <w:t xml:space="preserve"> هـ.ش/1965م.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مهدو</w:t>
      </w:r>
      <w:r w:rsidR="008C7124">
        <w:rPr>
          <w:rStyle w:val="Char8"/>
          <w:rtl/>
        </w:rPr>
        <w:t>ی</w:t>
      </w:r>
      <w:r w:rsidRPr="0092648A">
        <w:rPr>
          <w:rStyle w:val="Char8"/>
          <w:rtl/>
        </w:rPr>
        <w:t>ت و اسلام (پ</w:t>
      </w:r>
      <w:r w:rsidR="008C7124">
        <w:rPr>
          <w:rStyle w:val="Char8"/>
          <w:rtl/>
        </w:rPr>
        <w:t>ی</w:t>
      </w:r>
      <w:r w:rsidRPr="0092648A">
        <w:rPr>
          <w:rStyle w:val="Char8"/>
          <w:rtl/>
        </w:rPr>
        <w:t>رامون نوشته ها</w:t>
      </w:r>
      <w:r w:rsidR="008C7124">
        <w:rPr>
          <w:rStyle w:val="Char8"/>
          <w:rtl/>
        </w:rPr>
        <w:t>ی</w:t>
      </w:r>
      <w:r w:rsidRPr="0092648A">
        <w:rPr>
          <w:rStyle w:val="Char8"/>
          <w:rtl/>
        </w:rPr>
        <w:t xml:space="preserve"> احمد </w:t>
      </w:r>
      <w:r w:rsidR="008C7124">
        <w:rPr>
          <w:rStyle w:val="Char8"/>
          <w:rtl/>
        </w:rPr>
        <w:t>ک</w:t>
      </w:r>
      <w:r w:rsidRPr="0092648A">
        <w:rPr>
          <w:rStyle w:val="Char8"/>
          <w:rtl/>
        </w:rPr>
        <w:t>سرو</w:t>
      </w:r>
      <w:r w:rsidR="008C7124">
        <w:rPr>
          <w:rStyle w:val="Char8"/>
          <w:rtl/>
        </w:rPr>
        <w:t>ی</w:t>
      </w:r>
      <w:r w:rsidRPr="0092648A">
        <w:rPr>
          <w:rStyle w:val="Char8"/>
          <w:rtl/>
        </w:rPr>
        <w:t>)</w:t>
      </w:r>
      <w:r w:rsidRPr="0092648A">
        <w:rPr>
          <w:rStyle w:val="Char"/>
          <w:rFonts w:hint="cs"/>
          <w:rtl/>
        </w:rPr>
        <w:t>» [المهدوية والإسلام (حول كتابات أحمد كسروي]،</w:t>
      </w:r>
      <w:r w:rsidRPr="0092648A">
        <w:rPr>
          <w:rStyle w:val="Char"/>
          <w:rtl/>
        </w:rPr>
        <w:t xml:space="preserve"> </w:t>
      </w:r>
      <w:r w:rsidRPr="0092648A">
        <w:rPr>
          <w:rStyle w:val="Char"/>
          <w:rFonts w:hint="cs"/>
          <w:rtl/>
        </w:rPr>
        <w:t>تأليف</w:t>
      </w:r>
      <w:r w:rsidRPr="0092648A">
        <w:rPr>
          <w:rStyle w:val="Char"/>
          <w:rtl/>
        </w:rPr>
        <w:t xml:space="preserve"> سيد جعفر شهيدي</w:t>
      </w:r>
      <w:r w:rsidRPr="0092648A">
        <w:rPr>
          <w:rStyle w:val="Char"/>
          <w:rFonts w:hint="cs"/>
          <w:rtl/>
        </w:rPr>
        <w:t>،</w:t>
      </w:r>
      <w:r w:rsidRPr="0092648A">
        <w:rPr>
          <w:rStyle w:val="Char"/>
          <w:rtl/>
        </w:rPr>
        <w:t xml:space="preserve"> </w:t>
      </w:r>
      <w:r w:rsidRPr="0092648A">
        <w:rPr>
          <w:rStyle w:val="Char"/>
          <w:rFonts w:hint="cs"/>
          <w:rtl/>
        </w:rPr>
        <w:t>مطبعة</w:t>
      </w:r>
      <w:r w:rsidRPr="0092648A">
        <w:rPr>
          <w:rStyle w:val="Char"/>
          <w:rtl/>
        </w:rPr>
        <w:t xml:space="preserve"> سعادت</w:t>
      </w:r>
      <w:r w:rsidRPr="0092648A">
        <w:rPr>
          <w:rStyle w:val="Char"/>
          <w:rFonts w:hint="cs"/>
          <w:rtl/>
        </w:rPr>
        <w:t>،</w:t>
      </w:r>
      <w:r w:rsidRPr="0092648A">
        <w:rPr>
          <w:rStyle w:val="Char"/>
          <w:rtl/>
        </w:rPr>
        <w:t xml:space="preserve"> بروجرد</w:t>
      </w:r>
      <w:r w:rsidRPr="0092648A">
        <w:rPr>
          <w:rStyle w:val="Char"/>
          <w:rFonts w:hint="cs"/>
          <w:rtl/>
        </w:rPr>
        <w:t>،</w:t>
      </w:r>
      <w:r w:rsidRPr="0092648A">
        <w:rPr>
          <w:rStyle w:val="Char"/>
          <w:rtl/>
        </w:rPr>
        <w:t xml:space="preserve"> (91 ص).</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تناقضات پ</w:t>
      </w:r>
      <w:r w:rsidR="008C7124">
        <w:rPr>
          <w:rStyle w:val="Char8"/>
          <w:rtl/>
        </w:rPr>
        <w:t>ی</w:t>
      </w:r>
      <w:r w:rsidRPr="0092648A">
        <w:rPr>
          <w:rStyle w:val="Char8"/>
          <w:rtl/>
        </w:rPr>
        <w:t>مان و پرچم</w:t>
      </w:r>
      <w:r w:rsidRPr="0092648A">
        <w:rPr>
          <w:rStyle w:val="Char"/>
          <w:rFonts w:hint="cs"/>
          <w:rtl/>
        </w:rPr>
        <w:t xml:space="preserve">» [تناقضات مجلتي پيمان و پرچم]، تأليف أحد أصدقاء يوسف شُعَار الذي كتب الكتاب استنادًا إلى المدونات التي كتبها يوسف شُعَار حول أفكار كسروي المتناقضة، وعقائده الباطلة. </w:t>
      </w:r>
      <w:r w:rsidRPr="006E28E9">
        <w:rPr>
          <w:rStyle w:val="Char"/>
          <w:rFonts w:ascii="Arabic11 BT" w:hAnsi="Arabic11 BT" w:cs="Arabic11 BT"/>
          <w:vertAlign w:val="superscript"/>
          <w:rtl/>
        </w:rPr>
        <w:footnoteReference w:id="16"/>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آتش انقلاب</w:t>
      </w:r>
      <w:r w:rsidRPr="0092648A">
        <w:rPr>
          <w:rStyle w:val="Char8"/>
          <w:rFonts w:hint="cs"/>
          <w:rtl/>
        </w:rPr>
        <w:t>»</w:t>
      </w:r>
      <w:r w:rsidRPr="0092648A">
        <w:rPr>
          <w:rStyle w:val="Char"/>
          <w:rFonts w:hint="cs"/>
          <w:rtl/>
        </w:rPr>
        <w:t xml:space="preserve"> [نار الثورة]</w:t>
      </w:r>
      <w:r w:rsidRPr="0092648A">
        <w:rPr>
          <w:rStyle w:val="Char"/>
          <w:rtl/>
        </w:rPr>
        <w:t>،</w:t>
      </w:r>
      <w:r w:rsidRPr="0092648A">
        <w:rPr>
          <w:rStyle w:val="Char"/>
          <w:rFonts w:hint="cs"/>
          <w:rtl/>
        </w:rPr>
        <w:t xml:space="preserve"> </w:t>
      </w:r>
      <w:r w:rsidRPr="0092648A">
        <w:rPr>
          <w:rStyle w:val="Char"/>
          <w:rtl/>
        </w:rPr>
        <w:t>شيخ قاسم اسلامي</w:t>
      </w:r>
      <w:r w:rsidRPr="006E28E9">
        <w:rPr>
          <w:rStyle w:val="Char"/>
          <w:rFonts w:ascii="Arabic11 BT" w:hAnsi="Arabic11 BT" w:cs="Arabic11 BT"/>
          <w:vertAlign w:val="superscript"/>
          <w:rtl/>
        </w:rPr>
        <w:footnoteReference w:id="17"/>
      </w:r>
      <w:r w:rsidRPr="0092648A">
        <w:rPr>
          <w:rStyle w:val="Char"/>
          <w:rtl/>
        </w:rPr>
        <w:t xml:space="preserve"> (1325</w:t>
      </w:r>
      <w:r w:rsidRPr="0092648A">
        <w:rPr>
          <w:rStyle w:val="Char"/>
          <w:rFonts w:hint="cs"/>
          <w:rtl/>
        </w:rPr>
        <w:t xml:space="preserve"> هـ.ش/1946م،</w:t>
      </w:r>
      <w:r w:rsidRPr="0092648A">
        <w:rPr>
          <w:rStyle w:val="Char"/>
          <w:rtl/>
        </w:rPr>
        <w:t xml:space="preserve"> </w:t>
      </w:r>
      <w:r w:rsidRPr="0092648A">
        <w:rPr>
          <w:rStyle w:val="Char"/>
          <w:rFonts w:hint="cs"/>
          <w:rtl/>
        </w:rPr>
        <w:t>طهران،</w:t>
      </w:r>
      <w:r w:rsidRPr="0092648A">
        <w:rPr>
          <w:rStyle w:val="Char"/>
          <w:rtl/>
        </w:rPr>
        <w:t xml:space="preserve"> </w:t>
      </w:r>
      <w:r w:rsidRPr="0092648A">
        <w:rPr>
          <w:rStyle w:val="Char"/>
          <w:rFonts w:hint="cs"/>
          <w:rtl/>
        </w:rPr>
        <w:t>مطبعة</w:t>
      </w:r>
      <w:r w:rsidRPr="0092648A">
        <w:rPr>
          <w:rStyle w:val="Char"/>
          <w:rtl/>
        </w:rPr>
        <w:t xml:space="preserve"> آفتاب) 159</w:t>
      </w:r>
      <w:r w:rsidRPr="0092648A">
        <w:rPr>
          <w:rStyle w:val="Char"/>
          <w:rFonts w:hint="cs"/>
          <w:rtl/>
        </w:rPr>
        <w:t xml:space="preserve"> </w:t>
      </w:r>
      <w:r w:rsidRPr="0092648A">
        <w:rPr>
          <w:rStyle w:val="Char"/>
          <w:rtl/>
        </w:rPr>
        <w:t xml:space="preserve">ص، </w:t>
      </w:r>
      <w:r w:rsidRPr="0092648A">
        <w:rPr>
          <w:rStyle w:val="Char"/>
          <w:rFonts w:hint="cs"/>
          <w:rtl/>
        </w:rPr>
        <w:t xml:space="preserve">في الرد على أفكار كسروي. وفي هذا الكتاب تقرير مفصل عن المناظرة التي تمت </w:t>
      </w:r>
      <w:r w:rsidRPr="0092648A">
        <w:rPr>
          <w:rStyle w:val="Char"/>
          <w:rFonts w:hint="cs"/>
          <w:rtl/>
        </w:rPr>
        <w:lastRenderedPageBreak/>
        <w:t>بين بعض أصدقاء كسروي وأحد معارضيه، سنة 1324 هـ.ش/1945م.</w:t>
      </w:r>
      <w:r w:rsidRPr="006E28E9">
        <w:rPr>
          <w:rStyle w:val="Char"/>
          <w:rFonts w:ascii="Arabic11 BT" w:hAnsi="Arabic11 BT" w:cs="Arabic11 BT"/>
          <w:vertAlign w:val="superscript"/>
          <w:rtl/>
        </w:rPr>
        <w:footnoteReference w:id="18"/>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بررس</w:t>
      </w:r>
      <w:r w:rsidR="008C7124">
        <w:rPr>
          <w:rStyle w:val="Char8"/>
          <w:rtl/>
        </w:rPr>
        <w:t>ی</w:t>
      </w:r>
      <w:r w:rsidRPr="0092648A">
        <w:rPr>
          <w:rStyle w:val="Char8"/>
          <w:rtl/>
        </w:rPr>
        <w:t xml:space="preserve"> در پ</w:t>
      </w:r>
      <w:r w:rsidR="008C7124">
        <w:rPr>
          <w:rStyle w:val="Char8"/>
          <w:rtl/>
        </w:rPr>
        <w:t>ی</w:t>
      </w:r>
      <w:r w:rsidRPr="0092648A">
        <w:rPr>
          <w:rStyle w:val="Char8"/>
          <w:rtl/>
        </w:rPr>
        <w:t>رامون اسلام</w:t>
      </w:r>
      <w:r w:rsidRPr="0092648A">
        <w:rPr>
          <w:rStyle w:val="Char"/>
          <w:rFonts w:hint="cs"/>
          <w:rtl/>
        </w:rPr>
        <w:t>» [دراسة حول الإسلام]</w:t>
      </w:r>
      <w:r w:rsidRPr="0092648A">
        <w:rPr>
          <w:rStyle w:val="Char"/>
          <w:rtl/>
        </w:rPr>
        <w:t xml:space="preserve">، </w:t>
      </w:r>
      <w:r w:rsidRPr="0092648A">
        <w:rPr>
          <w:rStyle w:val="Char"/>
          <w:rFonts w:hint="cs"/>
          <w:rtl/>
        </w:rPr>
        <w:t>ال</w:t>
      </w:r>
      <w:r w:rsidRPr="0092648A">
        <w:rPr>
          <w:rStyle w:val="Char"/>
          <w:rtl/>
        </w:rPr>
        <w:t>ميرزا محمد جواد آ</w:t>
      </w:r>
      <w:r w:rsidRPr="0092648A">
        <w:rPr>
          <w:rStyle w:val="Char"/>
          <w:rFonts w:hint="cs"/>
          <w:rtl/>
        </w:rPr>
        <w:t>غ</w:t>
      </w:r>
      <w:r w:rsidRPr="0092648A">
        <w:rPr>
          <w:rStyle w:val="Char"/>
          <w:rtl/>
        </w:rPr>
        <w:t xml:space="preserve">ا </w:t>
      </w:r>
      <w:r w:rsidRPr="0092648A">
        <w:rPr>
          <w:rStyle w:val="Char"/>
          <w:rFonts w:hint="cs"/>
          <w:rtl/>
        </w:rPr>
        <w:t>الط</w:t>
      </w:r>
      <w:r w:rsidRPr="0092648A">
        <w:rPr>
          <w:rStyle w:val="Char"/>
          <w:rtl/>
        </w:rPr>
        <w:t xml:space="preserve">هراني، </w:t>
      </w:r>
      <w:r w:rsidRPr="0092648A">
        <w:rPr>
          <w:rStyle w:val="Char"/>
          <w:rFonts w:hint="cs"/>
          <w:rtl/>
        </w:rPr>
        <w:t>وقدَّم للكتاب</w:t>
      </w:r>
      <w:r w:rsidRPr="0092648A">
        <w:rPr>
          <w:rStyle w:val="Char"/>
          <w:rtl/>
        </w:rPr>
        <w:t xml:space="preserve"> </w:t>
      </w:r>
      <w:r w:rsidRPr="0092648A">
        <w:rPr>
          <w:rStyle w:val="Char"/>
          <w:rFonts w:hint="cs"/>
          <w:rtl/>
        </w:rPr>
        <w:t>ال</w:t>
      </w:r>
      <w:r w:rsidRPr="0092648A">
        <w:rPr>
          <w:rStyle w:val="Char"/>
          <w:rtl/>
        </w:rPr>
        <w:t xml:space="preserve">حاج سراج </w:t>
      </w:r>
      <w:r w:rsidRPr="0092648A">
        <w:rPr>
          <w:rStyle w:val="Char"/>
          <w:rFonts w:hint="cs"/>
          <w:rtl/>
        </w:rPr>
        <w:t>الأ</w:t>
      </w:r>
      <w:r w:rsidRPr="0092648A">
        <w:rPr>
          <w:rStyle w:val="Char"/>
          <w:rtl/>
        </w:rPr>
        <w:t xml:space="preserve">نصاري و قاسم </w:t>
      </w:r>
      <w:r w:rsidRPr="0092648A">
        <w:rPr>
          <w:rStyle w:val="Char"/>
          <w:rFonts w:hint="cs"/>
          <w:rtl/>
        </w:rPr>
        <w:t>إ</w:t>
      </w:r>
      <w:r w:rsidRPr="0092648A">
        <w:rPr>
          <w:rStyle w:val="Char"/>
          <w:rtl/>
        </w:rPr>
        <w:t xml:space="preserve">سلامي، </w:t>
      </w:r>
      <w:r w:rsidRPr="0092648A">
        <w:rPr>
          <w:rStyle w:val="Char"/>
          <w:rFonts w:hint="cs"/>
          <w:rtl/>
        </w:rPr>
        <w:t>ط</w:t>
      </w:r>
      <w:r w:rsidRPr="0092648A">
        <w:rPr>
          <w:rStyle w:val="Char"/>
          <w:rtl/>
        </w:rPr>
        <w:t>هران، بهمن 1324</w:t>
      </w:r>
      <w:r w:rsidRPr="0092648A">
        <w:rPr>
          <w:rStyle w:val="Char"/>
          <w:rFonts w:hint="cs"/>
          <w:rtl/>
        </w:rPr>
        <w:t xml:space="preserve"> هـ.ش/1946م.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tl/>
        </w:rPr>
        <w:t>پاسخ داور</w:t>
      </w:r>
      <w:r w:rsidR="008C7124">
        <w:rPr>
          <w:rStyle w:val="Char8"/>
          <w:rtl/>
        </w:rPr>
        <w:t>ی</w:t>
      </w:r>
      <w:r w:rsidRPr="0092648A">
        <w:rPr>
          <w:rStyle w:val="Char8"/>
          <w:rtl/>
        </w:rPr>
        <w:t xml:space="preserve">، </w:t>
      </w:r>
      <w:r w:rsidR="008C7124">
        <w:rPr>
          <w:rStyle w:val="Char8"/>
          <w:rtl/>
        </w:rPr>
        <w:t>ی</w:t>
      </w:r>
      <w:r w:rsidRPr="0092648A">
        <w:rPr>
          <w:rStyle w:val="Char8"/>
          <w:rtl/>
        </w:rPr>
        <w:t>ا بررس</w:t>
      </w:r>
      <w:r w:rsidR="008C7124">
        <w:rPr>
          <w:rStyle w:val="Char8"/>
          <w:rtl/>
        </w:rPr>
        <w:t>ی</w:t>
      </w:r>
      <w:r w:rsidRPr="0092648A">
        <w:rPr>
          <w:rStyle w:val="Char8"/>
          <w:rtl/>
        </w:rPr>
        <w:t xml:space="preserve"> عقا</w:t>
      </w:r>
      <w:r w:rsidR="008C7124">
        <w:rPr>
          <w:rStyle w:val="Char8"/>
          <w:rtl/>
        </w:rPr>
        <w:t>ی</w:t>
      </w:r>
      <w:r w:rsidRPr="0092648A">
        <w:rPr>
          <w:rStyle w:val="Char8"/>
          <w:rtl/>
        </w:rPr>
        <w:t>د ش</w:t>
      </w:r>
      <w:r w:rsidR="008C7124">
        <w:rPr>
          <w:rStyle w:val="Char8"/>
          <w:rtl/>
        </w:rPr>
        <w:t>ی</w:t>
      </w:r>
      <w:r w:rsidRPr="0092648A">
        <w:rPr>
          <w:rStyle w:val="Char8"/>
          <w:rtl/>
        </w:rPr>
        <w:t>عه</w:t>
      </w:r>
      <w:r w:rsidRPr="0092648A">
        <w:rPr>
          <w:rStyle w:val="Char"/>
          <w:rFonts w:hint="cs"/>
          <w:rtl/>
        </w:rPr>
        <w:t>» [الرد على الحُكم أو دراسة عقائد الشيعة]</w:t>
      </w:r>
      <w:r w:rsidRPr="0092648A">
        <w:rPr>
          <w:rStyle w:val="Char"/>
          <w:rtl/>
        </w:rPr>
        <w:t xml:space="preserve">، حسين كاشاني، </w:t>
      </w:r>
      <w:r w:rsidRPr="0092648A">
        <w:rPr>
          <w:rStyle w:val="Char"/>
          <w:rFonts w:hint="cs"/>
          <w:rtl/>
        </w:rPr>
        <w:t>ط</w:t>
      </w:r>
      <w:r w:rsidRPr="0092648A">
        <w:rPr>
          <w:rStyle w:val="Char"/>
          <w:rtl/>
        </w:rPr>
        <w:t>هران، كتابفروشي اسلاميه، 1345</w:t>
      </w:r>
      <w:r w:rsidRPr="0092648A">
        <w:rPr>
          <w:rStyle w:val="Char"/>
          <w:rFonts w:hint="cs"/>
          <w:rtl/>
        </w:rPr>
        <w:t xml:space="preserve"> هـ.ش/1966م.</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w:t>
      </w:r>
      <w:r w:rsidRPr="0092648A">
        <w:rPr>
          <w:rStyle w:val="Char8"/>
          <w:rtl/>
        </w:rPr>
        <w:t>پ</w:t>
      </w:r>
      <w:r w:rsidR="008C7124">
        <w:rPr>
          <w:rStyle w:val="Char8"/>
          <w:rtl/>
        </w:rPr>
        <w:t>ی</w:t>
      </w:r>
      <w:r w:rsidRPr="0092648A">
        <w:rPr>
          <w:rStyle w:val="Char8"/>
          <w:rtl/>
        </w:rPr>
        <w:t>غمبر قرن ب</w:t>
      </w:r>
      <w:r w:rsidR="008C7124">
        <w:rPr>
          <w:rStyle w:val="Char8"/>
          <w:rtl/>
        </w:rPr>
        <w:t>ی</w:t>
      </w:r>
      <w:r w:rsidRPr="0092648A">
        <w:rPr>
          <w:rStyle w:val="Char8"/>
          <w:rtl/>
        </w:rPr>
        <w:t xml:space="preserve">ستم </w:t>
      </w:r>
      <w:r w:rsidR="008C7124">
        <w:rPr>
          <w:rStyle w:val="Char8"/>
          <w:rtl/>
        </w:rPr>
        <w:t>ی</w:t>
      </w:r>
      <w:r w:rsidRPr="0092648A">
        <w:rPr>
          <w:rStyle w:val="Char8"/>
          <w:rtl/>
        </w:rPr>
        <w:t>ا خر</w:t>
      </w:r>
      <w:r w:rsidRPr="0092648A">
        <w:rPr>
          <w:rStyle w:val="Char8"/>
          <w:rFonts w:hint="cs"/>
          <w:rtl/>
        </w:rPr>
        <w:t>ک</w:t>
      </w:r>
      <w:r w:rsidRPr="0092648A">
        <w:rPr>
          <w:rStyle w:val="Char8"/>
          <w:rtl/>
        </w:rPr>
        <w:t xml:space="preserve"> ح</w:t>
      </w:r>
      <w:r w:rsidR="008C7124">
        <w:rPr>
          <w:rStyle w:val="Char8"/>
          <w:rtl/>
        </w:rPr>
        <w:t>ک</w:t>
      </w:r>
      <w:r w:rsidRPr="0092648A">
        <w:rPr>
          <w:rStyle w:val="Char8"/>
          <w:rtl/>
        </w:rPr>
        <w:t>م آباد</w:t>
      </w:r>
      <w:r w:rsidRPr="0092648A">
        <w:rPr>
          <w:rStyle w:val="Char"/>
          <w:rFonts w:hint="cs"/>
          <w:rtl/>
        </w:rPr>
        <w:t>» [نبي القرن العشرين أم حُمَير حَكَم آباد]</w:t>
      </w:r>
      <w:r w:rsidRPr="0092648A">
        <w:rPr>
          <w:rStyle w:val="Char"/>
          <w:rtl/>
        </w:rPr>
        <w:t xml:space="preserve">، </w:t>
      </w:r>
      <w:r w:rsidRPr="0092648A">
        <w:rPr>
          <w:rStyle w:val="Char"/>
          <w:rFonts w:hint="cs"/>
          <w:rtl/>
        </w:rPr>
        <w:t>ط</w:t>
      </w:r>
      <w:r w:rsidRPr="0092648A">
        <w:rPr>
          <w:rStyle w:val="Char"/>
          <w:rtl/>
        </w:rPr>
        <w:t>هران، 1322</w:t>
      </w:r>
      <w:r w:rsidRPr="0092648A">
        <w:rPr>
          <w:rStyle w:val="Char"/>
          <w:rFonts w:hint="cs"/>
          <w:rtl/>
        </w:rPr>
        <w:t xml:space="preserve"> هـ.ش/1943م.</w:t>
      </w:r>
      <w:r w:rsidRPr="0092648A">
        <w:rPr>
          <w:rStyle w:val="Char"/>
          <w:rtl/>
        </w:rPr>
        <w:t>، 14</w:t>
      </w:r>
      <w:r w:rsidRPr="0092648A">
        <w:rPr>
          <w:rStyle w:val="Char"/>
          <w:rFonts w:hint="cs"/>
          <w:rtl/>
        </w:rPr>
        <w:t xml:space="preserve"> </w:t>
      </w:r>
      <w:r w:rsidRPr="0092648A">
        <w:rPr>
          <w:rStyle w:val="Char"/>
          <w:rtl/>
        </w:rPr>
        <w:t>ص.</w:t>
      </w:r>
    </w:p>
    <w:p w:rsidR="00DA6CFB" w:rsidRPr="00153F4F" w:rsidRDefault="00DA6CFB" w:rsidP="006E28E9">
      <w:pPr>
        <w:pStyle w:val="3"/>
        <w:rPr>
          <w:rtl/>
        </w:rPr>
      </w:pPr>
      <w:bookmarkStart w:id="13" w:name="_Toc444083800"/>
      <w:r w:rsidRPr="00153F4F">
        <w:rPr>
          <w:rFonts w:hint="cs"/>
          <w:rtl/>
        </w:rPr>
        <w:t>ب: النضال من أجل الحجاب:</w:t>
      </w:r>
      <w:bookmarkEnd w:id="13"/>
      <w:r w:rsidRPr="00153F4F">
        <w:rP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شاهد الإيرانيون سفور النساء أول مرة في حياتهم برؤيتهم للمسافرين الأوربيين [الذين كانوا يأتون لإيران] أو الإيرانيين الذين سافروا إلى أوربا [ثم رجعوا إلى إيران]، ثم طُرِحَت مسألة السفور والتخلّي عن ارتداء الحجاب الإسلامي مِنْ قِبَلِ بعض المطبوعات الفارسية خارج إيران مثل مجلة «حبل المتين». وعندما وقعت الثورة الدستورية ونشرت رسالة التجدد في إيران طُرِحت مسألة السفور وترك الحجاب بشكل جدي. سنة 1290 هـ.ش/ 1911م كتب «فخر الإسلام» رسالةً حول فوائد الحجاب وذمَّ فيها السفور. بعد ذلك وخلال كل السنوات التي تلت النهضة الدستورية وسبقت مجيء رضا خان إلى سدة الحكم بدأ طرح هذا الموضوع شيئًا فشيئًا في أشعار «إيرج ميرزا» و«عارف القزويني»، وبعض مؤلفات الآخرين. وعندما اعتلى رضا خان العرش ظهرت زوجته لأول مرة سافرةً دون حجاب وجاءت إلى قم على هذه الصورة سنة 1306 هـ.ش/ 1927م، مما أثار اعتراض المرحوم بافقي فتعرَّض إلى الضرب المُبْرِح على يد رضا خان، وتم نفيه إلى مدينة ري. بعد ذلك، ابتدأت مساعي دولة البهلوي وعدد من المتجددين العصريين من النساء والرجال في نشر السفور وترك الحجاب إلى أن صدر المرسوم الرسمي الذي يأمر بخلع الحجاب على نحو إلزامي بتاريخ 17 دي 1314 هـ.ش (8/1/1936م).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إجبار الناس على نزع الحجاب دفع المتدينين إلى القيام برد فعل وإلى مقاومة هذا الإجراء. وتحول موضوع الحجاب شيئًا فشيئًا إلى مسألة حساسة وعلامة على معرفة إيمان الأفراد والأسر وإسلامهم، وأخذ مكانًا وحجمًا أكبر من حجمه الحقيقي. وبعد ذهاب رضا خان، كان عدد من الناس قد تقبل السفور وعدم الحجاب، أضف إلى ذلك أن قانون إلزام النساء بنزع حجابهم بقي مُطَبَّقًا مدةً من الزمن. في تلك الفترة الزمنية ذاتها تحرك العلماء لأول مرة لأجل إنهاء العمل بهذا القانون ونجحوا في ذلك وكُتبت على إثر ذلك عشرات الرسائل والكتب في فوائد الحجاب ولزوم ارتدائه؛ كما أن معارضي الحجاب كانوا بين الوقت والآخر يكتبون أيضًا مقالات في الصحف والمجلات ضد الحجاب. وأصبحت هذه المسألة من المسائل المهمة في الدعاية الدينية ثم أصبحت مسألة سياسية </w:t>
      </w:r>
      <w:r w:rsidRPr="0092648A">
        <w:rPr>
          <w:rStyle w:val="Char"/>
          <w:rFonts w:hint="cs"/>
          <w:rtl/>
        </w:rPr>
        <w:lastRenderedPageBreak/>
        <w:t>وكانت -عمليًّا- سببًا في إثارة الحساسيات الدينية في المجتمع.</w:t>
      </w:r>
      <w:r w:rsidRPr="006E28E9">
        <w:rPr>
          <w:rStyle w:val="Char"/>
          <w:rFonts w:ascii="Arabic11 BT" w:hAnsi="Arabic11 BT" w:cs="Arabic11 BT"/>
          <w:vertAlign w:val="superscript"/>
          <w:rtl/>
        </w:rPr>
        <w:footnoteReference w:id="19"/>
      </w:r>
      <w:r w:rsidRPr="0092648A">
        <w:rPr>
          <w:rStyle w:val="Char"/>
          <w:rFonts w:hint="cs"/>
          <w:rtl/>
        </w:rPr>
        <w:t xml:space="preserve"> </w:t>
      </w:r>
    </w:p>
    <w:p w:rsidR="00DA6CFB" w:rsidRPr="00CE29FB" w:rsidRDefault="00DA6CFB" w:rsidP="006E28E9">
      <w:pPr>
        <w:pStyle w:val="3"/>
        <w:rPr>
          <w:rtl/>
        </w:rPr>
      </w:pPr>
      <w:bookmarkStart w:id="14" w:name="_Toc444083801"/>
      <w:r w:rsidRPr="00CE29FB">
        <w:rPr>
          <w:rFonts w:hint="cs"/>
          <w:rtl/>
        </w:rPr>
        <w:t>ج: محاربة الماركسية والإلحاد:</w:t>
      </w:r>
      <w:bookmarkEnd w:id="14"/>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أخذ النضال والصراع الفكري ضد الماركسية مساحة واسعة في الأدبيات الدينية في هذه المرحلة الزمنية؛ إلى درجة يمكن أن نعتبر معها أن هذا الأمر شَكَّل أحد المحاور الأساسية للنضال الفكري للمفكرين والكتاب والخطباء الدينين سواء من رجال الدين أم من عامة المتدينين. أضف إلى ذلك أن نظام الحكم كان أيضًا، بسبب ارتباطه بالمعسكر الغربي وتبعِيِّته له، معاديًا للماركسية، إذْ كان يعتبرها منافسًا خطيرًا وجديًّا له، ولهذا السبب كان يسعى إلى الاستفادة من كل الوسائل الممكنة لمحاربة الماركسية. كانت نتيجة هذا الأمر تأليف عشرات الكتب خلال مدة الـ 37 عامًا [في موضوع محاربة النظرية المادية والرد عليها]. ونشير هنا -إضافة إلى ما سيأتي لاحقًا ضمن مباحث الكتاب- إلى نماذج لبعض هذه الكتب: </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اثبات صانع از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 تا ا</w:t>
      </w:r>
      <w:r w:rsidR="008C7124">
        <w:rPr>
          <w:rStyle w:val="Char8"/>
          <w:rFonts w:hint="cs"/>
          <w:rtl/>
        </w:rPr>
        <w:t>ی</w:t>
      </w:r>
      <w:r w:rsidRPr="0092648A">
        <w:rPr>
          <w:rStyle w:val="Char8"/>
          <w:rFonts w:hint="cs"/>
          <w:rtl/>
        </w:rPr>
        <w:t>ده‌آل</w:t>
      </w:r>
      <w:r w:rsidR="008C7124">
        <w:rPr>
          <w:rStyle w:val="Char8"/>
          <w:rFonts w:hint="cs"/>
          <w:rtl/>
        </w:rPr>
        <w:t>ی</w:t>
      </w:r>
      <w:r w:rsidRPr="0092648A">
        <w:rPr>
          <w:rStyle w:val="Char8"/>
          <w:rFonts w:hint="cs"/>
          <w:rtl/>
        </w:rPr>
        <w:t xml:space="preserve">سم </w:t>
      </w:r>
      <w:r w:rsidR="008C7124">
        <w:rPr>
          <w:rStyle w:val="Char8"/>
          <w:rFonts w:hint="cs"/>
          <w:rtl/>
        </w:rPr>
        <w:t>ی</w:t>
      </w:r>
      <w:r w:rsidRPr="0092648A">
        <w:rPr>
          <w:rStyle w:val="Char8"/>
          <w:rFonts w:hint="cs"/>
          <w:rtl/>
        </w:rPr>
        <w:t>ا از ماده‌پرست</w:t>
      </w:r>
      <w:r w:rsidR="008C7124">
        <w:rPr>
          <w:rStyle w:val="Char8"/>
          <w:rFonts w:hint="cs"/>
          <w:rtl/>
        </w:rPr>
        <w:t>ی</w:t>
      </w:r>
      <w:r w:rsidRPr="0092648A">
        <w:rPr>
          <w:rStyle w:val="Char8"/>
          <w:rFonts w:hint="cs"/>
          <w:rtl/>
        </w:rPr>
        <w:t xml:space="preserve"> تا خداپرست</w:t>
      </w:r>
      <w:r w:rsidR="008C7124">
        <w:rPr>
          <w:rStyle w:val="Char8"/>
          <w:rFonts w:hint="cs"/>
          <w:rtl/>
        </w:rPr>
        <w:t>ی</w:t>
      </w:r>
      <w:r w:rsidRPr="0092648A">
        <w:rPr>
          <w:rStyle w:val="Char"/>
          <w:rFonts w:hint="cs"/>
          <w:rtl/>
        </w:rPr>
        <w:t>» [إثبات الصانع، من المادية إلى المثالية أو من عبادة المادة إلى عبادة الله]، آية الله شيخ محمد تقي آملي، بدون تاريخ النشر ولا اسم الناشر ولا مكان النشر.</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مار</w:t>
      </w:r>
      <w:r w:rsidR="008C7124">
        <w:rPr>
          <w:rStyle w:val="Char8"/>
          <w:rFonts w:hint="cs"/>
          <w:rtl/>
        </w:rPr>
        <w:t>ک</w:t>
      </w:r>
      <w:r w:rsidRPr="0092648A">
        <w:rPr>
          <w:rStyle w:val="Char8"/>
          <w:rFonts w:hint="cs"/>
          <w:rtl/>
        </w:rPr>
        <w:t>ز</w:t>
      </w:r>
      <w:r w:rsidR="008C7124">
        <w:rPr>
          <w:rStyle w:val="Char8"/>
          <w:rFonts w:hint="cs"/>
          <w:rtl/>
        </w:rPr>
        <w:t>ی</w:t>
      </w:r>
      <w:r w:rsidRPr="0092648A">
        <w:rPr>
          <w:rStyle w:val="Char8"/>
          <w:rFonts w:hint="cs"/>
          <w:rtl/>
        </w:rPr>
        <w:t xml:space="preserve">سم </w:t>
      </w:r>
      <w:r w:rsidR="008C7124">
        <w:rPr>
          <w:rStyle w:val="Char8"/>
          <w:rFonts w:hint="cs"/>
          <w:rtl/>
        </w:rPr>
        <w:t>ی</w:t>
      </w:r>
      <w:r w:rsidRPr="0092648A">
        <w:rPr>
          <w:rStyle w:val="Char8"/>
          <w:rFonts w:hint="cs"/>
          <w:rtl/>
        </w:rPr>
        <w:t>ا مرام اشترا</w:t>
      </w:r>
      <w:r w:rsidR="008C7124">
        <w:rPr>
          <w:rStyle w:val="Char8"/>
          <w:rFonts w:hint="cs"/>
          <w:rtl/>
        </w:rPr>
        <w:t>کی</w:t>
      </w:r>
      <w:r w:rsidRPr="0092648A">
        <w:rPr>
          <w:rStyle w:val="Char8"/>
          <w:rFonts w:hint="cs"/>
          <w:rtl/>
        </w:rPr>
        <w:t xml:space="preserve"> مار</w:t>
      </w:r>
      <w:r w:rsidR="008C7124">
        <w:rPr>
          <w:rStyle w:val="Char8"/>
          <w:rFonts w:hint="cs"/>
          <w:rtl/>
        </w:rPr>
        <w:t>ک</w:t>
      </w:r>
      <w:r w:rsidRPr="0092648A">
        <w:rPr>
          <w:rStyle w:val="Char8"/>
          <w:rFonts w:hint="cs"/>
          <w:rtl/>
        </w:rPr>
        <w:t>س</w:t>
      </w:r>
      <w:r w:rsidRPr="0092648A">
        <w:rPr>
          <w:rStyle w:val="Char"/>
          <w:rFonts w:hint="cs"/>
          <w:rtl/>
        </w:rPr>
        <w:t>» [الماركسية أم الهدف الاشتراكي لماركس]، يحيي شكوهي محسني، شركت سهامي، طبع أراك، 1324 هـ.ش/1945م.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مبارزه م</w:t>
      </w:r>
      <w:r w:rsidR="008C7124">
        <w:rPr>
          <w:rStyle w:val="Char8"/>
          <w:rFonts w:hint="cs"/>
          <w:rtl/>
        </w:rPr>
        <w:t>ک</w:t>
      </w:r>
      <w:r w:rsidRPr="0092648A">
        <w:rPr>
          <w:rStyle w:val="Char8"/>
          <w:rFonts w:hint="cs"/>
          <w:rtl/>
        </w:rPr>
        <w:t>تب متاف</w:t>
      </w:r>
      <w:r w:rsidR="008C7124">
        <w:rPr>
          <w:rStyle w:val="Char8"/>
          <w:rFonts w:hint="cs"/>
          <w:rtl/>
        </w:rPr>
        <w:t>ی</w:t>
      </w:r>
      <w:r w:rsidRPr="0092648A">
        <w:rPr>
          <w:rStyle w:val="Char8"/>
          <w:rFonts w:hint="cs"/>
          <w:rtl/>
        </w:rPr>
        <w:t>ز</w:t>
      </w:r>
      <w:r w:rsidR="008C7124">
        <w:rPr>
          <w:rStyle w:val="Char8"/>
          <w:rFonts w:hint="cs"/>
          <w:rtl/>
        </w:rPr>
        <w:t>یک</w:t>
      </w:r>
      <w:r w:rsidRPr="0092648A">
        <w:rPr>
          <w:rStyle w:val="Char8"/>
          <w:rFonts w:hint="cs"/>
          <w:rtl/>
        </w:rPr>
        <w:t xml:space="preserve"> با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 و ا</w:t>
      </w:r>
      <w:r w:rsidR="008C7124">
        <w:rPr>
          <w:rStyle w:val="Char8"/>
          <w:rFonts w:hint="cs"/>
          <w:rtl/>
        </w:rPr>
        <w:t>ی</w:t>
      </w:r>
      <w:r w:rsidRPr="0092648A">
        <w:rPr>
          <w:rStyle w:val="Char8"/>
          <w:rFonts w:hint="cs"/>
          <w:rtl/>
        </w:rPr>
        <w:t>ده‌آل</w:t>
      </w:r>
      <w:r w:rsidR="008C7124">
        <w:rPr>
          <w:rStyle w:val="Char8"/>
          <w:rFonts w:hint="cs"/>
          <w:rtl/>
        </w:rPr>
        <w:t>ی</w:t>
      </w:r>
      <w:r w:rsidRPr="0092648A">
        <w:rPr>
          <w:rStyle w:val="Char8"/>
          <w:rFonts w:hint="cs"/>
          <w:rtl/>
        </w:rPr>
        <w:t>سم</w:t>
      </w:r>
      <w:r w:rsidRPr="0092648A">
        <w:rPr>
          <w:rStyle w:val="Char"/>
          <w:rFonts w:hint="cs"/>
          <w:rtl/>
        </w:rPr>
        <w:t>» [محاربة مدرسة ماوراء الطبيعة للفلسفة المادية والفلسفة المثالية]، بقلم مؤلف كتاب الشيعة أكبر مذاهب الإسلام، طهران، الطبعة الثانية، 1332 هـ.ش/1953م.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در پ</w:t>
      </w:r>
      <w:r w:rsidR="008C7124">
        <w:rPr>
          <w:rStyle w:val="Char8"/>
          <w:rFonts w:hint="cs"/>
          <w:rtl/>
        </w:rPr>
        <w:t>ی</w:t>
      </w:r>
      <w:r w:rsidRPr="0092648A">
        <w:rPr>
          <w:rStyle w:val="Char8"/>
          <w:rFonts w:hint="cs"/>
          <w:rtl/>
        </w:rPr>
        <w:t>رامون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 xml:space="preserve">سم </w:t>
      </w:r>
      <w:r w:rsidR="008C7124">
        <w:rPr>
          <w:rStyle w:val="Char8"/>
          <w:rFonts w:hint="cs"/>
          <w:rtl/>
        </w:rPr>
        <w:t>ی</w:t>
      </w:r>
      <w:r w:rsidRPr="0092648A">
        <w:rPr>
          <w:rStyle w:val="Char8"/>
          <w:rFonts w:hint="cs"/>
          <w:rtl/>
        </w:rPr>
        <w:t>ا منشأ فساد</w:t>
      </w:r>
      <w:r w:rsidRPr="0092648A">
        <w:rPr>
          <w:rStyle w:val="Char"/>
          <w:rFonts w:hint="cs"/>
          <w:rtl/>
        </w:rPr>
        <w:t>» [حول الفسلفة المادية أو منشأ الفساد]، الحاج سراج الأنصاري، طهران، جعفري، 1333 هـ.ش/1954م.</w:t>
      </w:r>
    </w:p>
    <w:p w:rsidR="00DA6CFB" w:rsidRPr="0092648A" w:rsidRDefault="00DA6CFB" w:rsidP="006E28E9">
      <w:pPr>
        <w:widowControl w:val="0"/>
        <w:spacing w:line="211" w:lineRule="auto"/>
        <w:ind w:firstLine="284"/>
        <w:jc w:val="both"/>
        <w:rPr>
          <w:rStyle w:val="Char"/>
          <w:rtl/>
        </w:rPr>
      </w:pPr>
      <w:r w:rsidRPr="0092648A">
        <w:rPr>
          <w:rStyle w:val="Char"/>
          <w:rFonts w:hint="cs"/>
          <w:rtl/>
        </w:rPr>
        <w:lastRenderedPageBreak/>
        <w:t>- «</w:t>
      </w:r>
      <w:r w:rsidRPr="0092648A">
        <w:rPr>
          <w:rStyle w:val="Char8"/>
          <w:rFonts w:hint="cs"/>
          <w:rtl/>
        </w:rPr>
        <w:t xml:space="preserve">پس از </w:t>
      </w:r>
      <w:r w:rsidR="008C7124">
        <w:rPr>
          <w:rStyle w:val="Char8"/>
          <w:rFonts w:hint="cs"/>
          <w:rtl/>
        </w:rPr>
        <w:t>ک</w:t>
      </w:r>
      <w:r w:rsidRPr="0092648A">
        <w:rPr>
          <w:rStyle w:val="Char8"/>
          <w:rFonts w:hint="cs"/>
          <w:rtl/>
        </w:rPr>
        <w:t>مون</w:t>
      </w:r>
      <w:r w:rsidR="008C7124">
        <w:rPr>
          <w:rStyle w:val="Char8"/>
          <w:rFonts w:hint="cs"/>
          <w:rtl/>
        </w:rPr>
        <w:t>ی</w:t>
      </w:r>
      <w:r w:rsidRPr="0092648A">
        <w:rPr>
          <w:rStyle w:val="Char8"/>
          <w:rFonts w:hint="cs"/>
          <w:rtl/>
        </w:rPr>
        <w:t>سم ح</w:t>
      </w:r>
      <w:r w:rsidR="008C7124">
        <w:rPr>
          <w:rStyle w:val="Char8"/>
          <w:rFonts w:hint="cs"/>
          <w:rtl/>
        </w:rPr>
        <w:t>ک</w:t>
      </w:r>
      <w:r w:rsidRPr="0092648A">
        <w:rPr>
          <w:rStyle w:val="Char8"/>
          <w:rFonts w:hint="cs"/>
          <w:rtl/>
        </w:rPr>
        <w:t>ومت حق وعدالت</w:t>
      </w:r>
      <w:r w:rsidRPr="0092648A">
        <w:rPr>
          <w:rStyle w:val="Char"/>
          <w:rFonts w:hint="cs"/>
          <w:rtl/>
        </w:rPr>
        <w:t>» [بعد الشيوعية حكومة الحق والعدل]، عبد الحسين الكافي، طهران، 1333 هـ.ش/1954م.، (وأعيدت طباعة الكتاب بالأفست تحت عنوان «</w:t>
      </w:r>
      <w:r w:rsidRPr="0092648A">
        <w:rPr>
          <w:rStyle w:val="Char8"/>
          <w:rFonts w:hint="cs"/>
          <w:rtl/>
        </w:rPr>
        <w:t>شناخت علم</w:t>
      </w:r>
      <w:r w:rsidR="008C7124">
        <w:rPr>
          <w:rStyle w:val="Char8"/>
          <w:rFonts w:hint="cs"/>
          <w:rtl/>
        </w:rPr>
        <w:t>ی</w:t>
      </w:r>
      <w:r w:rsidRPr="0092648A">
        <w:rPr>
          <w:rStyle w:val="Char8"/>
          <w:rFonts w:hint="cs"/>
          <w:rtl/>
        </w:rPr>
        <w:t xml:space="preserve">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 مار</w:t>
      </w:r>
      <w:r w:rsidR="008C7124">
        <w:rPr>
          <w:rStyle w:val="Char8"/>
          <w:rFonts w:hint="cs"/>
          <w:rtl/>
        </w:rPr>
        <w:t>ک</w:t>
      </w:r>
      <w:r w:rsidRPr="0092648A">
        <w:rPr>
          <w:rStyle w:val="Char8"/>
          <w:rFonts w:hint="cs"/>
          <w:rtl/>
        </w:rPr>
        <w:t>س</w:t>
      </w:r>
      <w:r w:rsidR="008C7124">
        <w:rPr>
          <w:rStyle w:val="Char8"/>
          <w:rFonts w:hint="cs"/>
          <w:rtl/>
        </w:rPr>
        <w:t>ی</w:t>
      </w:r>
      <w:r w:rsidRPr="0092648A">
        <w:rPr>
          <w:rStyle w:val="Char8"/>
          <w:rFonts w:hint="cs"/>
          <w:rtl/>
        </w:rPr>
        <w:t>سم واسلام</w:t>
      </w:r>
      <w:r w:rsidRPr="0092648A">
        <w:rPr>
          <w:rStyle w:val="Char"/>
          <w:rFonts w:hint="cs"/>
          <w:rtl/>
        </w:rPr>
        <w:t>» [المعرفة العلمية للفلسفة المادية والماركسية والإسلام]، مركز بررسي</w:t>
      </w:r>
      <w:r w:rsidRPr="0092648A">
        <w:rPr>
          <w:rStyle w:val="Char"/>
          <w:rFonts w:ascii="Times New Roman" w:hAnsi="Times New Roman" w:cs="Times New Roman" w:hint="cs"/>
          <w:rtl/>
        </w:rPr>
        <w:t>‌</w:t>
      </w:r>
      <w:r w:rsidRPr="0092648A">
        <w:rPr>
          <w:rStyle w:val="Char"/>
          <w:rFonts w:hint="cs"/>
          <w:rtl/>
        </w:rPr>
        <w:t>هاي اسلامي [مركز الدراسات الإسلامية]، (قم، 1355 هـ.ش/1976م).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008C7124">
        <w:rPr>
          <w:rStyle w:val="Char8"/>
          <w:rFonts w:hint="cs"/>
          <w:rtl/>
        </w:rPr>
        <w:t>یک</w:t>
      </w:r>
      <w:r w:rsidRPr="0092648A">
        <w:rPr>
          <w:rStyle w:val="Char8"/>
          <w:rFonts w:hint="cs"/>
          <w:rtl/>
        </w:rPr>
        <w:t>تاپرست</w:t>
      </w:r>
      <w:r w:rsidR="008C7124">
        <w:rPr>
          <w:rStyle w:val="Char8"/>
          <w:rFonts w:hint="cs"/>
          <w:rtl/>
        </w:rPr>
        <w:t>ی</w:t>
      </w:r>
      <w:r w:rsidRPr="0092648A">
        <w:rPr>
          <w:rStyle w:val="Char8"/>
          <w:rFonts w:hint="cs"/>
          <w:rtl/>
        </w:rPr>
        <w:t xml:space="preserve"> رد م</w:t>
      </w:r>
      <w:r w:rsidR="008C7124">
        <w:rPr>
          <w:rStyle w:val="Char8"/>
          <w:rFonts w:hint="cs"/>
          <w:rtl/>
        </w:rPr>
        <w:t>ک</w:t>
      </w:r>
      <w:r w:rsidRPr="0092648A">
        <w:rPr>
          <w:rStyle w:val="Char8"/>
          <w:rFonts w:hint="cs"/>
          <w:rtl/>
        </w:rPr>
        <w:t>تب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 xml:space="preserve">سم واثبات صانع </w:t>
      </w:r>
      <w:r w:rsidR="008C7124">
        <w:rPr>
          <w:rStyle w:val="Char8"/>
          <w:rFonts w:hint="cs"/>
          <w:rtl/>
        </w:rPr>
        <w:t>ک</w:t>
      </w:r>
      <w:r w:rsidRPr="0092648A">
        <w:rPr>
          <w:rStyle w:val="Char8"/>
          <w:rFonts w:hint="cs"/>
          <w:rtl/>
        </w:rPr>
        <w:t>ل</w:t>
      </w:r>
      <w:r w:rsidRPr="0092648A">
        <w:rPr>
          <w:rStyle w:val="Char"/>
          <w:rFonts w:hint="cs"/>
          <w:rtl/>
        </w:rPr>
        <w:t>» [توحيد العبادة رد على المدرسة المادية وإثبات صانع الكل]، حسين فقيه مرندي، طهران، الطبعة الثانية، 1339 هـ.ش/1960م.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008C7124">
        <w:rPr>
          <w:rStyle w:val="Char8"/>
          <w:rFonts w:hint="cs"/>
          <w:rtl/>
        </w:rPr>
        <w:t>ک</w:t>
      </w:r>
      <w:r w:rsidRPr="0092648A">
        <w:rPr>
          <w:rStyle w:val="Char8"/>
          <w:rFonts w:hint="cs"/>
          <w:rtl/>
        </w:rPr>
        <w:t>مون</w:t>
      </w:r>
      <w:r w:rsidR="008C7124">
        <w:rPr>
          <w:rStyle w:val="Char8"/>
          <w:rFonts w:hint="cs"/>
          <w:rtl/>
        </w:rPr>
        <w:t>ی</w:t>
      </w:r>
      <w:r w:rsidRPr="0092648A">
        <w:rPr>
          <w:rStyle w:val="Char8"/>
          <w:rFonts w:hint="cs"/>
          <w:rtl/>
        </w:rPr>
        <w:t>سم از نظر عقل و اسلام</w:t>
      </w:r>
      <w:r w:rsidRPr="0092648A">
        <w:rPr>
          <w:rStyle w:val="Char"/>
          <w:rFonts w:hint="cs"/>
          <w:rtl/>
        </w:rPr>
        <w:t>» [الشيوعية في نظر العقل والإسلام]، أبو الفضل النبوي القمي، قم، 1334 هـ.ش/1955م.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ا</w:t>
      </w:r>
      <w:r w:rsidR="008C7124">
        <w:rPr>
          <w:rStyle w:val="Char8"/>
          <w:rFonts w:hint="cs"/>
          <w:rtl/>
        </w:rPr>
        <w:t>ی</w:t>
      </w:r>
      <w:r w:rsidRPr="0092648A">
        <w:rPr>
          <w:rStyle w:val="Char8"/>
          <w:rFonts w:hint="cs"/>
          <w:rtl/>
        </w:rPr>
        <w:t>ده‌آل بشر، (تجز</w:t>
      </w:r>
      <w:r w:rsidR="008C7124">
        <w:rPr>
          <w:rStyle w:val="Char8"/>
          <w:rFonts w:hint="cs"/>
          <w:rtl/>
        </w:rPr>
        <w:t>ی</w:t>
      </w:r>
      <w:r w:rsidRPr="0092648A">
        <w:rPr>
          <w:rStyle w:val="Char8"/>
          <w:rFonts w:hint="cs"/>
          <w:rtl/>
        </w:rPr>
        <w:t>ه وتحل</w:t>
      </w:r>
      <w:r w:rsidR="008C7124">
        <w:rPr>
          <w:rStyle w:val="Char8"/>
          <w:rFonts w:hint="cs"/>
          <w:rtl/>
        </w:rPr>
        <w:t>ی</w:t>
      </w:r>
      <w:r w:rsidRPr="0092648A">
        <w:rPr>
          <w:rStyle w:val="Char8"/>
          <w:rFonts w:hint="cs"/>
          <w:rtl/>
        </w:rPr>
        <w:t>ل اف</w:t>
      </w:r>
      <w:r w:rsidR="008C7124">
        <w:rPr>
          <w:rStyle w:val="Char8"/>
          <w:rFonts w:hint="cs"/>
          <w:rtl/>
        </w:rPr>
        <w:t>ک</w:t>
      </w:r>
      <w:r w:rsidRPr="0092648A">
        <w:rPr>
          <w:rStyle w:val="Char8"/>
          <w:rFonts w:hint="cs"/>
          <w:rtl/>
        </w:rPr>
        <w:t>ار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w:t>
      </w:r>
      <w:r w:rsidRPr="0092648A">
        <w:rPr>
          <w:rStyle w:val="Char"/>
          <w:rFonts w:hint="cs"/>
          <w:rtl/>
        </w:rPr>
        <w:t>» [مثالية البشر، تحليل لأفكار الفلسفة المادية]</w:t>
      </w:r>
      <w:r>
        <w:rPr>
          <w:rFonts w:cs="Times New Roman" w:hint="cs"/>
          <w:rtl/>
        </w:rPr>
        <w:t>،</w:t>
      </w:r>
      <w:r w:rsidRPr="0092648A">
        <w:rPr>
          <w:rStyle w:val="Char"/>
          <w:rFonts w:hint="cs"/>
          <w:rtl/>
        </w:rPr>
        <w:t xml:space="preserve"> المهندس جلال الدين الآشتياني، طهران.</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ا</w:t>
      </w:r>
      <w:r w:rsidR="008C7124">
        <w:rPr>
          <w:rStyle w:val="Char8"/>
          <w:rFonts w:hint="cs"/>
          <w:rtl/>
        </w:rPr>
        <w:t>ی</w:t>
      </w:r>
      <w:r w:rsidRPr="0092648A">
        <w:rPr>
          <w:rStyle w:val="Char8"/>
          <w:rFonts w:hint="cs"/>
          <w:rtl/>
        </w:rPr>
        <w:t>ده‌آل</w:t>
      </w:r>
      <w:r w:rsidR="008C7124">
        <w:rPr>
          <w:rStyle w:val="Char8"/>
          <w:rFonts w:hint="cs"/>
          <w:rtl/>
        </w:rPr>
        <w:t>ی</w:t>
      </w:r>
      <w:r w:rsidRPr="0092648A">
        <w:rPr>
          <w:rStyle w:val="Char8"/>
          <w:rFonts w:hint="cs"/>
          <w:rtl/>
        </w:rPr>
        <w:t>سم و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w:t>
      </w:r>
      <w:r w:rsidRPr="0092648A">
        <w:rPr>
          <w:rStyle w:val="Char"/>
          <w:rFonts w:hint="cs"/>
          <w:rtl/>
        </w:rPr>
        <w:t>» [الفسلفة المثالية والفلسفة المادية]، العقيد الدكتور برافروخته، طهران، طباعة آزردگان، 1327 هـ.ش/1948م.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008C7124">
        <w:rPr>
          <w:rStyle w:val="Char8"/>
          <w:rFonts w:hint="cs"/>
          <w:rtl/>
        </w:rPr>
        <w:t>ک</w:t>
      </w:r>
      <w:r w:rsidRPr="0092648A">
        <w:rPr>
          <w:rStyle w:val="Char8"/>
          <w:rFonts w:hint="cs"/>
          <w:rtl/>
        </w:rPr>
        <w:t>مون</w:t>
      </w:r>
      <w:r w:rsidR="008C7124">
        <w:rPr>
          <w:rStyle w:val="Char8"/>
          <w:rFonts w:hint="cs"/>
          <w:rtl/>
        </w:rPr>
        <w:t>ی</w:t>
      </w:r>
      <w:r w:rsidRPr="0092648A">
        <w:rPr>
          <w:rStyle w:val="Char8"/>
          <w:rFonts w:hint="cs"/>
          <w:rtl/>
        </w:rPr>
        <w:t>سم واخلاق</w:t>
      </w:r>
      <w:r w:rsidRPr="0092648A">
        <w:rPr>
          <w:rStyle w:val="Char"/>
          <w:rFonts w:hint="cs"/>
          <w:rtl/>
        </w:rPr>
        <w:t>» [الشيوعية والأخلاق]، سيد غلام رضا سعيدي، طهران، 1330 هـ.ش/1951م.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ف</w:t>
      </w:r>
      <w:r w:rsidR="008C7124">
        <w:rPr>
          <w:rStyle w:val="Char8"/>
          <w:rFonts w:hint="cs"/>
          <w:rtl/>
        </w:rPr>
        <w:t>ی</w:t>
      </w:r>
      <w:r w:rsidRPr="0092648A">
        <w:rPr>
          <w:rStyle w:val="Char8"/>
          <w:rFonts w:hint="cs"/>
          <w:rtl/>
        </w:rPr>
        <w:t>لسوف نماها</w:t>
      </w:r>
      <w:r w:rsidRPr="0092648A">
        <w:rPr>
          <w:rStyle w:val="Char"/>
          <w:rFonts w:hint="cs"/>
          <w:rtl/>
        </w:rPr>
        <w:t>» [الفلاسفة المزورين]، ناصر مكارم الشيرازي، طهران، دار الكتب الإسلامية، 1335 هـ.ش/ 1956م (الطبعة السابعة عشرة، 1358 هـ.ش/1979).</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متاف</w:t>
      </w:r>
      <w:r w:rsidR="008C7124">
        <w:rPr>
          <w:rStyle w:val="Char8"/>
          <w:rFonts w:hint="cs"/>
          <w:rtl/>
        </w:rPr>
        <w:t>ی</w:t>
      </w:r>
      <w:r w:rsidRPr="0092648A">
        <w:rPr>
          <w:rStyle w:val="Char8"/>
          <w:rFonts w:hint="cs"/>
          <w:rtl/>
        </w:rPr>
        <w:t>ز</w:t>
      </w:r>
      <w:r w:rsidR="008C7124">
        <w:rPr>
          <w:rStyle w:val="Char8"/>
          <w:rFonts w:hint="cs"/>
          <w:rtl/>
        </w:rPr>
        <w:t>ی</w:t>
      </w:r>
      <w:r w:rsidRPr="0092648A">
        <w:rPr>
          <w:rStyle w:val="Char8"/>
          <w:rFonts w:hint="cs"/>
          <w:rtl/>
        </w:rPr>
        <w:t>سم (رد بر فلسفه 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ست)</w:t>
      </w:r>
      <w:r w:rsidRPr="0092648A">
        <w:rPr>
          <w:rStyle w:val="Char"/>
          <w:rFonts w:hint="cs"/>
          <w:rtl/>
        </w:rPr>
        <w:t>» [فلسفة ما وراء الطبيعة (رد على الفلسفة المادية]، حسن حسن زاده الرشتي، قم، حكمت.</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ماد</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8"/>
          <w:rFonts w:hint="cs"/>
          <w:rtl/>
        </w:rPr>
        <w:t xml:space="preserve"> و خداشناس</w:t>
      </w:r>
      <w:r w:rsidR="008C7124">
        <w:rPr>
          <w:rStyle w:val="Char8"/>
          <w:rFonts w:hint="cs"/>
          <w:rtl/>
        </w:rPr>
        <w:t>ی</w:t>
      </w:r>
      <w:r w:rsidRPr="0092648A">
        <w:rPr>
          <w:rStyle w:val="Char"/>
          <w:rFonts w:hint="cs"/>
          <w:rtl/>
        </w:rPr>
        <w:t>» [المادية ومعرفة الله]، مهندس بازرگان، قم، نشر تشيع، 1355 هـ.ش/1976م.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متد د</w:t>
      </w:r>
      <w:r w:rsidR="008C7124">
        <w:rPr>
          <w:rStyle w:val="Char8"/>
          <w:rFonts w:hint="cs"/>
          <w:rtl/>
        </w:rPr>
        <w:t>ی</w:t>
      </w:r>
      <w:r w:rsidRPr="0092648A">
        <w:rPr>
          <w:rStyle w:val="Char8"/>
          <w:rFonts w:hint="cs"/>
          <w:rtl/>
        </w:rPr>
        <w:t>ال</w:t>
      </w:r>
      <w:r w:rsidR="008C7124">
        <w:rPr>
          <w:rStyle w:val="Char8"/>
          <w:rFonts w:hint="cs"/>
          <w:rtl/>
        </w:rPr>
        <w:t>ک</w:t>
      </w:r>
      <w:r w:rsidRPr="0092648A">
        <w:rPr>
          <w:rStyle w:val="Char8"/>
          <w:rFonts w:hint="cs"/>
          <w:rtl/>
        </w:rPr>
        <w:t>ت</w:t>
      </w:r>
      <w:r w:rsidR="008C7124">
        <w:rPr>
          <w:rStyle w:val="Char8"/>
          <w:rFonts w:hint="cs"/>
          <w:rtl/>
        </w:rPr>
        <w:t>یک</w:t>
      </w:r>
      <w:r w:rsidRPr="0092648A">
        <w:rPr>
          <w:rStyle w:val="Char8"/>
          <w:rFonts w:hint="cs"/>
          <w:rtl/>
        </w:rPr>
        <w:t xml:space="preserve"> مار</w:t>
      </w:r>
      <w:r w:rsidR="008C7124">
        <w:rPr>
          <w:rStyle w:val="Char8"/>
          <w:rFonts w:hint="cs"/>
          <w:rtl/>
        </w:rPr>
        <w:t>ک</w:t>
      </w:r>
      <w:r w:rsidRPr="0092648A">
        <w:rPr>
          <w:rStyle w:val="Char8"/>
          <w:rFonts w:hint="cs"/>
          <w:rtl/>
        </w:rPr>
        <w:t>س</w:t>
      </w:r>
      <w:r w:rsidR="008C7124">
        <w:rPr>
          <w:rStyle w:val="Char8"/>
          <w:rFonts w:hint="cs"/>
          <w:rtl/>
        </w:rPr>
        <w:t>ی</w:t>
      </w:r>
      <w:r w:rsidRPr="0092648A">
        <w:rPr>
          <w:rStyle w:val="Char8"/>
          <w:rFonts w:hint="cs"/>
          <w:rtl/>
        </w:rPr>
        <w:t>ست</w:t>
      </w:r>
      <w:r w:rsidR="008C7124">
        <w:rPr>
          <w:rStyle w:val="Char8"/>
          <w:rFonts w:hint="cs"/>
          <w:rtl/>
        </w:rPr>
        <w:t>ی</w:t>
      </w:r>
      <w:r w:rsidRPr="0092648A">
        <w:rPr>
          <w:rStyle w:val="Char"/>
          <w:rFonts w:hint="cs"/>
          <w:rtl/>
        </w:rPr>
        <w:t>» [منهج الجدل في الماركسية]، على حجتي كرماني، طهران، مركز نشر الأبحاث الإسلامية، 1354 هـ.ش/1975م، 311 ص.</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منطق ا</w:t>
      </w:r>
      <w:r w:rsidR="008C7124">
        <w:rPr>
          <w:rStyle w:val="Char8"/>
          <w:rFonts w:hint="cs"/>
          <w:rtl/>
        </w:rPr>
        <w:t>ی</w:t>
      </w:r>
      <w:r w:rsidRPr="0092648A">
        <w:rPr>
          <w:rStyle w:val="Char8"/>
          <w:rFonts w:hint="cs"/>
          <w:rtl/>
        </w:rPr>
        <w:t>مان</w:t>
      </w:r>
      <w:r w:rsidR="008C7124">
        <w:rPr>
          <w:rStyle w:val="Char8"/>
          <w:rFonts w:hint="cs"/>
          <w:rtl/>
        </w:rPr>
        <w:t>ی</w:t>
      </w:r>
      <w:r w:rsidRPr="0092648A">
        <w:rPr>
          <w:rStyle w:val="Char8"/>
          <w:rFonts w:hint="cs"/>
          <w:rtl/>
        </w:rPr>
        <w:t>ان در رد مار</w:t>
      </w:r>
      <w:r w:rsidR="008C7124">
        <w:rPr>
          <w:rStyle w:val="Char8"/>
          <w:rFonts w:hint="cs"/>
          <w:rtl/>
        </w:rPr>
        <w:t>ک</w:t>
      </w:r>
      <w:r w:rsidRPr="0092648A">
        <w:rPr>
          <w:rStyle w:val="Char8"/>
          <w:rFonts w:hint="cs"/>
          <w:rtl/>
        </w:rPr>
        <w:t>س</w:t>
      </w:r>
      <w:r w:rsidR="008C7124">
        <w:rPr>
          <w:rStyle w:val="Char8"/>
          <w:rFonts w:hint="cs"/>
          <w:rtl/>
        </w:rPr>
        <w:t>ی</w:t>
      </w:r>
      <w:r w:rsidRPr="0092648A">
        <w:rPr>
          <w:rStyle w:val="Char8"/>
          <w:rFonts w:hint="cs"/>
          <w:rtl/>
        </w:rPr>
        <w:t>سم</w:t>
      </w:r>
      <w:r w:rsidRPr="0092648A">
        <w:rPr>
          <w:rStyle w:val="Char"/>
          <w:rFonts w:hint="cs"/>
          <w:rtl/>
        </w:rPr>
        <w:t>» [منطق أهل الإيمان في الرد على الفلسفة الماركسية]، على قلي بياني، أُلِّف سنة 1353 هـ.ش/1974م، وطبع سنة 1356 هـ.ش/ 1977م.</w:t>
      </w:r>
    </w:p>
    <w:p w:rsidR="00DA6CFB" w:rsidRPr="0092648A" w:rsidRDefault="00DA6CFB" w:rsidP="006E28E9">
      <w:pPr>
        <w:widowControl w:val="0"/>
        <w:spacing w:line="211" w:lineRule="auto"/>
        <w:ind w:firstLine="284"/>
        <w:jc w:val="both"/>
        <w:rPr>
          <w:rStyle w:val="Char"/>
          <w:rtl/>
        </w:rPr>
      </w:pPr>
      <w:r w:rsidRPr="0092648A">
        <w:rPr>
          <w:rStyle w:val="Char"/>
          <w:rFonts w:hint="cs"/>
          <w:rtl/>
        </w:rPr>
        <w:t>- «</w:t>
      </w:r>
      <w:r w:rsidRPr="0092648A">
        <w:rPr>
          <w:rStyle w:val="Char8"/>
          <w:rFonts w:hint="cs"/>
          <w:rtl/>
        </w:rPr>
        <w:t>علم</w:t>
      </w:r>
      <w:r w:rsidR="008C7124">
        <w:rPr>
          <w:rStyle w:val="Char8"/>
          <w:rFonts w:hint="cs"/>
          <w:rtl/>
        </w:rPr>
        <w:t>ی</w:t>
      </w:r>
      <w:r w:rsidRPr="0092648A">
        <w:rPr>
          <w:rStyle w:val="Char8"/>
          <w:rFonts w:hint="cs"/>
          <w:rtl/>
        </w:rPr>
        <w:t xml:space="preserve"> بودن مار</w:t>
      </w:r>
      <w:r w:rsidR="008C7124">
        <w:rPr>
          <w:rStyle w:val="Char8"/>
          <w:rFonts w:hint="cs"/>
          <w:rtl/>
        </w:rPr>
        <w:t>ک</w:t>
      </w:r>
      <w:r w:rsidRPr="0092648A">
        <w:rPr>
          <w:rStyle w:val="Char8"/>
          <w:rFonts w:hint="cs"/>
          <w:rtl/>
        </w:rPr>
        <w:t>س</w:t>
      </w:r>
      <w:r w:rsidR="008C7124">
        <w:rPr>
          <w:rStyle w:val="Char8"/>
          <w:rFonts w:hint="cs"/>
          <w:rtl/>
        </w:rPr>
        <w:t>ی</w:t>
      </w:r>
      <w:r w:rsidRPr="0092648A">
        <w:rPr>
          <w:rStyle w:val="Char8"/>
          <w:rFonts w:hint="cs"/>
          <w:rtl/>
        </w:rPr>
        <w:t>سم</w:t>
      </w:r>
      <w:r w:rsidRPr="0092648A">
        <w:rPr>
          <w:rStyle w:val="Char"/>
          <w:rFonts w:hint="cs"/>
          <w:rtl/>
        </w:rPr>
        <w:t>» [علمية الماركسية]، مهدي بازرگان، طهران، 1354 هـ.ش/1975م.</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w:t>
      </w:r>
      <w:r w:rsidRPr="0092648A">
        <w:rPr>
          <w:rStyle w:val="Char8"/>
          <w:rFonts w:hint="cs"/>
          <w:rtl/>
        </w:rPr>
        <w:t>دو روئ</w:t>
      </w:r>
      <w:r w:rsidR="008C7124">
        <w:rPr>
          <w:rStyle w:val="Char8"/>
          <w:rFonts w:hint="cs"/>
          <w:rtl/>
        </w:rPr>
        <w:t>ی</w:t>
      </w:r>
      <w:r w:rsidRPr="0092648A">
        <w:rPr>
          <w:rStyle w:val="Char8"/>
          <w:rFonts w:hint="cs"/>
          <w:rtl/>
        </w:rPr>
        <w:t xml:space="preserve"> مار</w:t>
      </w:r>
      <w:r w:rsidR="008C7124">
        <w:rPr>
          <w:rStyle w:val="Char8"/>
          <w:rFonts w:hint="cs"/>
          <w:rtl/>
        </w:rPr>
        <w:t>ک</w:t>
      </w:r>
      <w:r w:rsidRPr="0092648A">
        <w:rPr>
          <w:rStyle w:val="Char8"/>
          <w:rFonts w:hint="cs"/>
          <w:rtl/>
        </w:rPr>
        <w:t>س</w:t>
      </w:r>
      <w:r w:rsidR="008C7124">
        <w:rPr>
          <w:rStyle w:val="Char8"/>
          <w:rFonts w:hint="cs"/>
          <w:rtl/>
        </w:rPr>
        <w:t>ی</w:t>
      </w:r>
      <w:r w:rsidRPr="0092648A">
        <w:rPr>
          <w:rStyle w:val="Char8"/>
          <w:rFonts w:hint="cs"/>
          <w:rtl/>
        </w:rPr>
        <w:t>ست‌ها</w:t>
      </w:r>
      <w:r w:rsidRPr="0092648A">
        <w:rPr>
          <w:rStyle w:val="Char"/>
          <w:rFonts w:hint="cs"/>
          <w:rtl/>
        </w:rPr>
        <w:t>» [الوجهان المختلفان للماركسية]، مهدي قائني، (مقالات نُشِرَتْ في مجلة آهن سنة 1330 - 1331 هـ.ش/1951 - 1952م)، ثم طبعت ككتاب مستقل: قم، دار الفكر، سنة 1358 هـ.ش/1979م.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w:t>
      </w:r>
      <w:r w:rsidRPr="0092648A">
        <w:rPr>
          <w:rStyle w:val="Char8"/>
          <w:rFonts w:hint="cs"/>
          <w:rtl/>
        </w:rPr>
        <w:t>اصول فلسفه و روش رئال</w:t>
      </w:r>
      <w:r w:rsidR="008C7124">
        <w:rPr>
          <w:rStyle w:val="Char8"/>
          <w:rFonts w:hint="cs"/>
          <w:rtl/>
        </w:rPr>
        <w:t>ی</w:t>
      </w:r>
      <w:r w:rsidRPr="0092648A">
        <w:rPr>
          <w:rStyle w:val="Char8"/>
          <w:rFonts w:hint="cs"/>
          <w:rtl/>
        </w:rPr>
        <w:t>سم</w:t>
      </w:r>
      <w:r w:rsidRPr="0092648A">
        <w:rPr>
          <w:rStyle w:val="Char"/>
          <w:rFonts w:hint="cs"/>
          <w:rtl/>
        </w:rPr>
        <w:t>» [أصول الفلسفة والمنهج الواقعي]، العلامة الطباطبائي، تعليقات مرتضى مطهري، (طهران، 1332 هـ.ش/ 1953م). هذا الكتاب الذي طُبع بصورة مستقلة كما طُبع أيضًا محلًى بحواشي المرحوم مطهري، يعتبر من الكتب القيمة جدًّا التي أُلِّفت في هذا الموضوع.</w:t>
      </w:r>
      <w:r w:rsidRPr="006E28E9">
        <w:rPr>
          <w:rStyle w:val="Char"/>
          <w:rFonts w:ascii="Arabic11 BT" w:hAnsi="Arabic11 BT" w:cs="Arabic11 BT"/>
          <w:vertAlign w:val="superscript"/>
          <w:rtl/>
        </w:rPr>
        <w:footnoteReference w:id="20"/>
      </w:r>
      <w:r w:rsidRPr="0092648A">
        <w:rPr>
          <w:rStyle w:val="Char"/>
          <w:rFonts w:hint="cs"/>
          <w:rtl/>
        </w:rPr>
        <w:t xml:space="preserve"> ظهور هذا الكتاب كان نتيجة جهد جماعي بذله الأستاذ محمد حسين طباطبائي وعدد من تلاميذه الذين كانوا يعقدون جلسات لنقد الأفكار الماركسية في الثلاثينيات من هذا القرن</w:t>
      </w:r>
      <w:r w:rsidRPr="006E28E9">
        <w:rPr>
          <w:rStyle w:val="Char"/>
          <w:rFonts w:ascii="Arabic11 BT" w:hAnsi="Arabic11 BT" w:cs="Arabic11 BT"/>
          <w:vertAlign w:val="superscript"/>
          <w:rtl/>
        </w:rPr>
        <w:footnoteReference w:id="21"/>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 في هذه الأيام الأخيرة ألف الدكتور علي شريعتي - رغم أنه كانه كان نفسه متأثرًا في جوانب من فكره بالأفكار الماركسية - انتقادات عديدة للفكر الماركسي، وطبع في هذا المجال عددًا من الكتب كان لها تأثير كبير جدًّا في إبعاد الطلاب المسلمين عن الماركسية.</w:t>
      </w:r>
      <w:r w:rsidRPr="006E28E9">
        <w:rPr>
          <w:rStyle w:val="Char"/>
          <w:rFonts w:ascii="Arabic11 BT" w:hAnsi="Arabic11 BT" w:cs="Arabic11 BT"/>
          <w:vertAlign w:val="superscript"/>
          <w:rtl/>
        </w:rPr>
        <w:footnoteReference w:id="22"/>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هذا وقد تُرْجِمت كثير من الكتب والمؤلفات عن اللغة العربية إلى اللغة الفارسية في مجال نقد الماركسية والمادية منها على سبيل المثال: </w:t>
      </w:r>
      <w:r w:rsidRPr="0092648A">
        <w:rPr>
          <w:rStyle w:val="Char8"/>
          <w:rFonts w:hint="cs"/>
          <w:rtl/>
        </w:rPr>
        <w:t>الإسلام أم المار</w:t>
      </w:r>
      <w:r w:rsidR="008C7124">
        <w:rPr>
          <w:rStyle w:val="Char8"/>
          <w:rFonts w:hint="cs"/>
          <w:rtl/>
        </w:rPr>
        <w:t>ک</w:t>
      </w:r>
      <w:r w:rsidRPr="0092648A">
        <w:rPr>
          <w:rStyle w:val="Char8"/>
          <w:rFonts w:hint="cs"/>
          <w:rtl/>
        </w:rPr>
        <w:t>س</w:t>
      </w:r>
      <w:r w:rsidR="008C7124">
        <w:rPr>
          <w:rStyle w:val="Char8"/>
          <w:rFonts w:hint="cs"/>
          <w:rtl/>
        </w:rPr>
        <w:t>یۀ</w:t>
      </w:r>
      <w:r w:rsidRPr="0092648A">
        <w:rPr>
          <w:rStyle w:val="Char"/>
          <w:rFonts w:hint="cs"/>
          <w:rtl/>
        </w:rPr>
        <w:t xml:space="preserve"> لمصطفى محمود، إذْ ترجمه السيد [هادي] خسروشاهي إلى الفارسية (قم، 1357 هـ.ش/1978م). كما تُرْجِمَت كثير من مؤلفات سيد قطب ومحمد قطب في نقد الفكر المادي إلى اللغة الفارسية.</w:t>
      </w:r>
    </w:p>
    <w:p w:rsidR="00DA6CFB" w:rsidRDefault="00DA6CFB" w:rsidP="006E28E9">
      <w:pPr>
        <w:pStyle w:val="3"/>
        <w:rPr>
          <w:rtl/>
        </w:rPr>
      </w:pPr>
      <w:bookmarkStart w:id="15" w:name="_Toc444083802"/>
      <w:r>
        <w:rPr>
          <w:rFonts w:hint="cs"/>
          <w:rtl/>
        </w:rPr>
        <w:lastRenderedPageBreak/>
        <w:t>د: محاربة البهائيين:</w:t>
      </w:r>
      <w:bookmarkEnd w:id="15"/>
      <w:r>
        <w:rP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لتنامي نشاط البهائيين تأثير كبير في تحريك الدوافع الدينية وإثارة مشاعر المتدينين في المجتمع الديني في إيران. من حيث المبدأ ينبغي أن نبحث عن مسيرة محاربة البهائية منذ زمن ظهور هذه النِّحْلة في إيران.</w:t>
      </w:r>
      <w:r w:rsidRPr="006E28E9">
        <w:rPr>
          <w:rStyle w:val="Char"/>
          <w:rFonts w:ascii="Arabic11 BT" w:hAnsi="Arabic11 BT" w:cs="Arabic11 BT"/>
          <w:vertAlign w:val="superscript"/>
          <w:rtl/>
        </w:rPr>
        <w:footnoteReference w:id="23"/>
      </w:r>
      <w:r w:rsidRPr="0092648A">
        <w:rPr>
          <w:rStyle w:val="Char"/>
          <w:rFonts w:hint="cs"/>
          <w:rtl/>
        </w:rPr>
        <w:t xml:space="preserve"> من أشهر العلماء الذين حاربوا البهائية: آية الله الشيخ أحمد الشاهرودي - الذي كان معاصراً لآية الله البروجردي وزميله في الدراسة - الذي كتب كتاب «</w:t>
      </w:r>
      <w:r w:rsidRPr="0092648A">
        <w:rPr>
          <w:rStyle w:val="Char8"/>
          <w:rFonts w:hint="cs"/>
          <w:rtl/>
        </w:rPr>
        <w:t>رهنماى د</w:t>
      </w:r>
      <w:r w:rsidR="008C7124">
        <w:rPr>
          <w:rStyle w:val="Char8"/>
          <w:rFonts w:hint="cs"/>
          <w:rtl/>
        </w:rPr>
        <w:t>ی</w:t>
      </w:r>
      <w:r w:rsidRPr="0092648A">
        <w:rPr>
          <w:rStyle w:val="Char8"/>
          <w:rFonts w:hint="cs"/>
          <w:rtl/>
        </w:rPr>
        <w:t>ن</w:t>
      </w:r>
      <w:r w:rsidRPr="0092648A">
        <w:rPr>
          <w:rStyle w:val="Char"/>
          <w:rFonts w:hint="cs"/>
          <w:rtl/>
        </w:rPr>
        <w:t>» [مرشد الدين] وغيره من المؤلفات في هذا الموضوع. وقد ظهرت خلال قرن من الزمن مؤلفات عديدة في الرد على هذه الفرقة واستمرت هذه المحاربة حتى عهد رضا خان. (ومن نماذج ذلك كُتَيِّبٌ صغير بعنوان «</w:t>
      </w:r>
      <w:r w:rsidRPr="0092648A">
        <w:rPr>
          <w:rStyle w:val="Char8"/>
          <w:rFonts w:hint="cs"/>
          <w:rtl/>
        </w:rPr>
        <w:t>چهار شب جمعه</w:t>
      </w:r>
      <w:r w:rsidRPr="0092648A">
        <w:rPr>
          <w:rStyle w:val="Char"/>
          <w:rFonts w:hint="cs"/>
          <w:rtl/>
        </w:rPr>
        <w:t>» [أربع ليالي جمعة] أُلِّفَ عام 1313 هـ.ش/1934م، وهو حصيلة عدة مناظرات بين شخص مسلم - باسم جلال دري - وشخص بهائي). ومن النماذج الأخرى لتلك المحاربة الجمعية التي أنشأها آية الله السيد أبو الحسن الطالقاني - والد آية الله محمود الطالقاني - مع والد المهندس مهدي بازرگان لمحاربة البهائيين والمبشرين النصارى.</w:t>
      </w:r>
      <w:r w:rsidRPr="006E28E9">
        <w:rPr>
          <w:rStyle w:val="Char"/>
          <w:rFonts w:ascii="Arabic11 BT" w:hAnsi="Arabic11 BT" w:cs="Arabic11 BT"/>
          <w:vertAlign w:val="superscript"/>
          <w:rtl/>
        </w:rPr>
        <w:footnoteReference w:id="24"/>
      </w:r>
      <w:r w:rsidRPr="0092648A">
        <w:rPr>
          <w:rStyle w:val="Char"/>
          <w:rFonts w:hint="cs"/>
          <w:rtl/>
        </w:rPr>
        <w:t xml:space="preserve"> أما ما يتعلق ببحثنا فهو بلوغ هذه المحاربة ذروتها سنة 1323 هـ.ش/1944م فما بعد حيث اتخذت صبغة سياسية أيضًا،</w:t>
      </w:r>
      <w:r w:rsidRPr="006E28E9">
        <w:rPr>
          <w:rStyle w:val="Char"/>
          <w:rFonts w:ascii="Arabic11 BT" w:hAnsi="Arabic11 BT" w:cs="Arabic11 BT"/>
          <w:vertAlign w:val="superscript"/>
          <w:rtl/>
        </w:rPr>
        <w:footnoteReference w:id="25"/>
      </w:r>
      <w:r w:rsidRPr="0092648A">
        <w:rPr>
          <w:rStyle w:val="Char"/>
          <w:rFonts w:hint="cs"/>
          <w:rtl/>
        </w:rPr>
        <w:t xml:space="preserve">  أي أن محاربة البهائية أصبح يُنْظَر إليها بوصفها نوعًا من محاربة الحكومة وأجزائها، وذلك لأن بعض وجوه النظام الحاكم كانوا متَّهمين بأنهم ذوو ميول بهائية.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ما ذكرناه كان أربعة أركان للحركة التي حملت عنوان «محاربة الإلحاد واللادينية» والتي طُرِحَت </w:t>
      </w:r>
      <w:r w:rsidRPr="0092648A">
        <w:rPr>
          <w:rStyle w:val="Char"/>
          <w:rFonts w:hint="cs"/>
          <w:rtl/>
        </w:rPr>
        <w:lastRenderedPageBreak/>
        <w:t>في العشرينيات والثلاثينيات</w:t>
      </w:r>
      <w:r w:rsidRPr="006E28E9">
        <w:rPr>
          <w:rStyle w:val="Char"/>
          <w:rFonts w:ascii="Arabic11 BT" w:hAnsi="Arabic11 BT" w:cs="Arabic11 BT"/>
          <w:vertAlign w:val="superscript"/>
          <w:rtl/>
        </w:rPr>
        <w:footnoteReference w:id="26"/>
      </w:r>
      <w:r w:rsidRPr="0092648A">
        <w:rPr>
          <w:rStyle w:val="Char"/>
          <w:rFonts w:hint="cs"/>
          <w:rtl/>
        </w:rPr>
        <w:t xml:space="preserve"> وما بعدها حتى قيام الثورة الإسلامية، وكان معظم الدعوة والتبليغ الديني يدور حول هذه المسائل الأربعة. سنة 1327هـ.ش/1948م طُرِحَ موضوع فلسطين أيضًا، وينبغي أن يُنْظَر إلى موضوع فلسطين في إطار ما تقدم من المسائل بوصفه عاملاً مستقلاً في اتجاه إحياء الإسلام في إيران.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مثل هذه الأوضاع كان هناك فريقان ابتدآ بممارسة نشاطاتهما: الفريق الأول هو الحوزة العلمية التي كانت قد أُضْعِفَت بشدة خلال عقدين من الزمن وكانت بحاجة إلى تعزيل ونفض للغبار عنها لإزالة حالة الخمود التي كانت تعاني منها بسبب ضغوط دولة الملك رضا خان. إلى جانب الحوزة بدأ علماء الدين في المدن والأرياف وسائر وجوه المجتمع التي بقيت من عصر رضا خان وأُجْبِرَت خلال ذلك العقد من الزمن على السكوت، بدأت تدريجيًّا بالتحرك والنشاط. يقول السيد خزعلي: «بعد ذهاب رضا شاه، استأنف علماء الدين نشاطهم، وبدأت المدارس الدينية بممارسة عملها، وعاد بعض علماء الدين الذين كانوا قد أُجْبِروا في عهد رضا خان على لبس البنطال والبذلة الغربية، إلى ارتداء الزي الخاص برجال الدين».</w:t>
      </w:r>
      <w:r w:rsidRPr="006E28E9">
        <w:rPr>
          <w:rStyle w:val="Char"/>
          <w:rFonts w:ascii="Arabic11 BT" w:hAnsi="Arabic11 BT" w:cs="Arabic11 BT"/>
          <w:vertAlign w:val="superscript"/>
          <w:rtl/>
        </w:rPr>
        <w:footnoteReference w:id="27"/>
      </w:r>
    </w:p>
    <w:p w:rsidR="00DA6CFB" w:rsidRPr="0092648A" w:rsidRDefault="00DA6CFB" w:rsidP="0092648A">
      <w:pPr>
        <w:widowControl w:val="0"/>
        <w:spacing w:line="216" w:lineRule="auto"/>
        <w:ind w:firstLine="284"/>
        <w:jc w:val="both"/>
        <w:rPr>
          <w:rStyle w:val="Char"/>
          <w:rtl/>
        </w:rPr>
      </w:pPr>
      <w:r w:rsidRPr="0092648A">
        <w:rPr>
          <w:rStyle w:val="Char"/>
          <w:rFonts w:hint="cs"/>
          <w:rtl/>
        </w:rPr>
        <w:t>لم تقم دولة رضا خان بإيقاف مجالس العزاء والوعظ فحسب بل أقفلت كثيرًا من المدارس العلمية في وجه الطلاب وحوَّلَتْها إلى مدارس عادية ليقوم بالدراسة فيها طلاب العلوم العصرية. وقام بعض التجار بتحويل كثيرٍ من هذه المدارس إلى خانات ومستودعات لبضائعهم. أما الآن وبعد توفر الجو المساعد الجديد بدأ علماء الدين يسعون إلى إعادة الحوزات العلمية والمدارس الدينية إلى نشاطها ومكانتها السابقة.</w:t>
      </w:r>
      <w:r w:rsidRPr="006E28E9">
        <w:rPr>
          <w:rStyle w:val="Char"/>
          <w:rFonts w:ascii="Arabic11 BT" w:hAnsi="Arabic11 BT" w:cs="Arabic11 BT"/>
          <w:vertAlign w:val="superscript"/>
          <w:rtl/>
        </w:rPr>
        <w:footnoteReference w:id="28"/>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والفريق الآخر الذي بدأ نشاطه هو بعض المتدينين من رجال الدين ومن غيرهم في جميع أنحاء البلاد الذين بدؤوا نشاطاتهم على نحو مستقل وبصورة إيجاد تنظيمات مختلفة تهدف إلى نشر التدين ومحاربة الإلحاد واللادينية، وكان من بينهم عدد من الجامعيين وتجار السوق المؤمنين أيضًا الذين كانوا يعتقدون أن الدعوة الدينية بشكلها التقليدي الذي يتم في مجالس قراءة مصائب آل البيت، ليست مؤثرة ذلك التأثير المطلوب لهداية الجيل الجديد، ولذلك أخذوا يفكرون بإيجاد طرق جديدة للدعوة الدينية، فقاموا بتأسيس الجمعيات والمراكز الإسلامية. وكانوا يسعَون من خلال إيجادهم لمثل تلك المراكز إلى الوقوف في وجه الشيوعيين ومواجهة الآثار السيئة لجهودهم في محاربة للدين وكذلك مواجهة مؤلفات كسروي.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وسط هذه الأوضاع جاء نظام البهلوي الثاني حديث العهد الذي أتى به الإنجليز والأمريكيون وعملاؤهما، وأبدى اهتمامه بالدين بهدف استخدامه لدفع خطر الشيوعيين، وبشكل خاص، لأجل منع نفوذ الاتحاد السوفيتي في إيران.</w:t>
      </w:r>
      <w:r w:rsidRPr="006E28E9">
        <w:rPr>
          <w:rStyle w:val="Char"/>
          <w:rFonts w:ascii="Arabic11 BT" w:hAnsi="Arabic11 BT" w:cs="Arabic11 BT"/>
          <w:vertAlign w:val="superscript"/>
          <w:rtl/>
        </w:rPr>
        <w:footnoteReference w:id="29"/>
      </w:r>
    </w:p>
    <w:p w:rsidR="00DA6CFB" w:rsidRPr="0092648A" w:rsidRDefault="00DA6CFB" w:rsidP="0092648A">
      <w:pPr>
        <w:widowControl w:val="0"/>
        <w:spacing w:line="216" w:lineRule="auto"/>
        <w:ind w:firstLine="284"/>
        <w:jc w:val="both"/>
        <w:rPr>
          <w:rStyle w:val="Char"/>
          <w:rtl/>
        </w:rPr>
      </w:pPr>
      <w:r w:rsidRPr="0092648A">
        <w:rPr>
          <w:rStyle w:val="Char"/>
          <w:rtl/>
        </w:rPr>
        <w:lastRenderedPageBreak/>
        <w:t>طبعاً لم يصل هذا الاهتمام إلى حد تشكيل جماعات راديكالية مثل جماعة «فدائيان إسلام» ورغم ذلك، لم يكن النظام موافق</w:t>
      </w:r>
      <w:r w:rsidRPr="0092648A">
        <w:rPr>
          <w:rStyle w:val="Char"/>
          <w:rFonts w:hint="cs"/>
          <w:rtl/>
        </w:rPr>
        <w:t>ً</w:t>
      </w:r>
      <w:r w:rsidRPr="0092648A">
        <w:rPr>
          <w:rStyle w:val="Char"/>
          <w:rtl/>
        </w:rPr>
        <w:t>ا على نشر الأمور الدينية فحسب، بل كان ي</w:t>
      </w:r>
      <w:r w:rsidRPr="0092648A">
        <w:rPr>
          <w:rStyle w:val="Char"/>
          <w:rFonts w:hint="cs"/>
          <w:rtl/>
        </w:rPr>
        <w:t>ُ</w:t>
      </w:r>
      <w:r w:rsidRPr="0092648A">
        <w:rPr>
          <w:rStyle w:val="Char"/>
          <w:rtl/>
        </w:rPr>
        <w:t>س</w:t>
      </w:r>
      <w:r w:rsidRPr="0092648A">
        <w:rPr>
          <w:rStyle w:val="Char"/>
          <w:rFonts w:hint="cs"/>
          <w:rtl/>
        </w:rPr>
        <w:t>َ</w:t>
      </w:r>
      <w:r w:rsidRPr="0092648A">
        <w:rPr>
          <w:rStyle w:val="Char"/>
          <w:rtl/>
        </w:rPr>
        <w:t>خ</w:t>
      </w:r>
      <w:r w:rsidRPr="0092648A">
        <w:rPr>
          <w:rStyle w:val="Char"/>
          <w:rFonts w:hint="cs"/>
          <w:rtl/>
        </w:rPr>
        <w:t>ِّ</w:t>
      </w:r>
      <w:r w:rsidRPr="0092648A">
        <w:rPr>
          <w:rStyle w:val="Char"/>
          <w:rtl/>
        </w:rPr>
        <w:t>ر كذلك الإذاعة لخدمة ذلك الغرض، وكان كثير</w:t>
      </w:r>
      <w:r w:rsidRPr="0092648A">
        <w:rPr>
          <w:rStyle w:val="Char"/>
          <w:rFonts w:hint="cs"/>
          <w:rtl/>
        </w:rPr>
        <w:t>ٌ</w:t>
      </w:r>
      <w:r w:rsidRPr="0092648A">
        <w:rPr>
          <w:rStyle w:val="Char"/>
          <w:rtl/>
        </w:rPr>
        <w:t xml:space="preserve"> من الوجوه الدينية البارزة، خلال تلك السنوات، يلقون الكلمات والمحاضرات بأنفسهم في الإذاعة أو يكتبون نصوص</w:t>
      </w:r>
      <w:r w:rsidRPr="0092648A">
        <w:rPr>
          <w:rStyle w:val="Char"/>
          <w:rFonts w:hint="cs"/>
          <w:rtl/>
        </w:rPr>
        <w:t>ً</w:t>
      </w:r>
      <w:r w:rsidRPr="0092648A">
        <w:rPr>
          <w:rStyle w:val="Char"/>
          <w:rtl/>
        </w:rPr>
        <w:t>ا لتُقرأ</w:t>
      </w:r>
      <w:r w:rsidRPr="0092648A">
        <w:rPr>
          <w:rStyle w:val="Char"/>
          <w:rFonts w:hint="cs"/>
          <w:rtl/>
        </w:rPr>
        <w:t xml:space="preserve"> فيها</w:t>
      </w:r>
      <w:r w:rsidRPr="0092648A">
        <w:rPr>
          <w:rStyle w:val="Char"/>
          <w:rtl/>
        </w:rPr>
        <w:t>.</w:t>
      </w:r>
    </w:p>
    <w:p w:rsidR="00DA6CFB" w:rsidRPr="0092648A" w:rsidRDefault="00DA6CFB" w:rsidP="0092648A">
      <w:pPr>
        <w:widowControl w:val="0"/>
        <w:spacing w:line="216" w:lineRule="auto"/>
        <w:ind w:firstLine="284"/>
        <w:jc w:val="both"/>
        <w:rPr>
          <w:rStyle w:val="Char"/>
          <w:rtl/>
        </w:rPr>
      </w:pPr>
      <w:r w:rsidRPr="0092648A">
        <w:rPr>
          <w:rStyle w:val="Char"/>
          <w:rtl/>
        </w:rPr>
        <w:t>كان النظام يسعى في الواقع إلى تقوية الدين إلى الحد الذي يس</w:t>
      </w:r>
      <w:r w:rsidRPr="0092648A">
        <w:rPr>
          <w:rStyle w:val="Char"/>
          <w:rFonts w:hint="cs"/>
          <w:rtl/>
        </w:rPr>
        <w:t>ت</w:t>
      </w:r>
      <w:r w:rsidRPr="0092648A">
        <w:rPr>
          <w:rStyle w:val="Char"/>
          <w:rtl/>
        </w:rPr>
        <w:t>طيع أن يوقف به تقدم الشيوعية في إيران</w:t>
      </w:r>
      <w:r w:rsidRPr="0092648A">
        <w:rPr>
          <w:rStyle w:val="Char"/>
          <w:rFonts w:hint="cs"/>
          <w:rtl/>
        </w:rPr>
        <w:t>؛</w:t>
      </w:r>
      <w:r w:rsidRPr="0092648A">
        <w:rPr>
          <w:rStyle w:val="Char"/>
          <w:rtl/>
        </w:rPr>
        <w:t xml:space="preserve"> </w:t>
      </w:r>
      <w:r w:rsidRPr="0092648A">
        <w:rPr>
          <w:rStyle w:val="Char"/>
          <w:rFonts w:hint="cs"/>
          <w:rtl/>
        </w:rPr>
        <w:t xml:space="preserve">بيد أن </w:t>
      </w:r>
      <w:r w:rsidRPr="0092648A">
        <w:rPr>
          <w:rStyle w:val="Char"/>
          <w:rtl/>
        </w:rPr>
        <w:t xml:space="preserve">هذا الأمر </w:t>
      </w:r>
      <w:r w:rsidRPr="0092648A">
        <w:rPr>
          <w:rStyle w:val="Char"/>
          <w:rFonts w:hint="cs"/>
          <w:rtl/>
        </w:rPr>
        <w:t>ساعد -</w:t>
      </w:r>
      <w:r w:rsidRPr="0092648A">
        <w:rPr>
          <w:rStyle w:val="Char"/>
          <w:rtl/>
        </w:rPr>
        <w:t xml:space="preserve"> </w:t>
      </w:r>
      <w:r w:rsidRPr="0092648A">
        <w:rPr>
          <w:rStyle w:val="Char"/>
          <w:rFonts w:hint="cs"/>
          <w:rtl/>
        </w:rPr>
        <w:t>دون أن يقصد النظام ذلك</w:t>
      </w:r>
      <w:r w:rsidRPr="0092648A">
        <w:rPr>
          <w:rStyle w:val="Char"/>
          <w:rtl/>
        </w:rPr>
        <w:t xml:space="preserve"> </w:t>
      </w:r>
      <w:r w:rsidRPr="0092648A">
        <w:rPr>
          <w:rStyle w:val="Char"/>
          <w:rFonts w:ascii="Times New Roman" w:hAnsi="Times New Roman" w:cs="Times New Roman" w:hint="cs"/>
          <w:rtl/>
        </w:rPr>
        <w:t>–</w:t>
      </w:r>
      <w:r w:rsidRPr="0092648A">
        <w:rPr>
          <w:rStyle w:val="Char"/>
          <w:rtl/>
        </w:rPr>
        <w:t xml:space="preserve"> </w:t>
      </w:r>
      <w:r w:rsidRPr="0092648A">
        <w:rPr>
          <w:rStyle w:val="Char"/>
          <w:rFonts w:hint="cs"/>
          <w:rtl/>
        </w:rPr>
        <w:t>على</w:t>
      </w:r>
      <w:r w:rsidRPr="0092648A">
        <w:rPr>
          <w:rStyle w:val="Char"/>
          <w:rtl/>
        </w:rPr>
        <w:t xml:space="preserve"> </w:t>
      </w:r>
      <w:r w:rsidRPr="0092648A">
        <w:rPr>
          <w:rStyle w:val="Char"/>
          <w:rFonts w:hint="cs"/>
          <w:rtl/>
        </w:rPr>
        <w:t>تقوية</w:t>
      </w:r>
      <w:r w:rsidRPr="0092648A">
        <w:rPr>
          <w:rStyle w:val="Char"/>
          <w:rtl/>
        </w:rPr>
        <w:t xml:space="preserve"> </w:t>
      </w:r>
      <w:r w:rsidRPr="0092648A">
        <w:rPr>
          <w:rStyle w:val="Char"/>
          <w:rFonts w:hint="cs"/>
          <w:rtl/>
        </w:rPr>
        <w:t>الدين</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إيران،</w:t>
      </w:r>
      <w:r w:rsidRPr="0092648A">
        <w:rPr>
          <w:rStyle w:val="Char"/>
          <w:rtl/>
        </w:rPr>
        <w:t xml:space="preserve"> </w:t>
      </w:r>
      <w:r w:rsidRPr="0092648A">
        <w:rPr>
          <w:rStyle w:val="Char"/>
          <w:rFonts w:hint="cs"/>
          <w:rtl/>
        </w:rPr>
        <w:t>وكان</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الطبيعي</w:t>
      </w:r>
      <w:r w:rsidRPr="0092648A">
        <w:rPr>
          <w:rStyle w:val="Char"/>
          <w:rtl/>
        </w:rPr>
        <w:t xml:space="preserve"> </w:t>
      </w:r>
      <w:r w:rsidRPr="0092648A">
        <w:rPr>
          <w:rStyle w:val="Char"/>
          <w:rFonts w:hint="cs"/>
          <w:rtl/>
        </w:rPr>
        <w:t>أن</w:t>
      </w:r>
      <w:r w:rsidRPr="0092648A">
        <w:rPr>
          <w:rStyle w:val="Char"/>
          <w:rtl/>
        </w:rPr>
        <w:t xml:space="preserve"> </w:t>
      </w:r>
      <w:r w:rsidRPr="0092648A">
        <w:rPr>
          <w:rStyle w:val="Char"/>
          <w:rFonts w:hint="cs"/>
          <w:rtl/>
        </w:rPr>
        <w:t>يسعى</w:t>
      </w:r>
      <w:r w:rsidRPr="0092648A">
        <w:rPr>
          <w:rStyle w:val="Char"/>
          <w:rtl/>
        </w:rPr>
        <w:t xml:space="preserve"> </w:t>
      </w:r>
      <w:r w:rsidRPr="0092648A">
        <w:rPr>
          <w:rStyle w:val="Char"/>
          <w:rFonts w:hint="cs"/>
          <w:rtl/>
        </w:rPr>
        <w:t>ال</w:t>
      </w:r>
      <w:r w:rsidRPr="0092648A">
        <w:rPr>
          <w:rStyle w:val="Char"/>
          <w:rtl/>
        </w:rPr>
        <w:t>متدينون أيض</w:t>
      </w:r>
      <w:r w:rsidRPr="0092648A">
        <w:rPr>
          <w:rStyle w:val="Char"/>
          <w:rFonts w:hint="cs"/>
          <w:rtl/>
        </w:rPr>
        <w:t>ً</w:t>
      </w:r>
      <w:r w:rsidRPr="0092648A">
        <w:rPr>
          <w:rStyle w:val="Char"/>
          <w:rtl/>
        </w:rPr>
        <w:t>ا إلى الاستفادة من الإذاعة الرسمية في تلك السنوات</w:t>
      </w:r>
      <w:r>
        <w:rPr>
          <w:rFonts w:cs="Times New Roman" w:hint="cs"/>
          <w:rtl/>
          <w:lang w:bidi="ar-SY"/>
        </w:rPr>
        <w:t xml:space="preserve"> </w:t>
      </w:r>
      <w:r w:rsidRPr="0092648A">
        <w:rPr>
          <w:rStyle w:val="Char"/>
          <w:rFonts w:hint="cs"/>
          <w:rtl/>
        </w:rPr>
        <w:t>التي</w:t>
      </w:r>
      <w:r w:rsidRPr="0092648A">
        <w:rPr>
          <w:rStyle w:val="Char"/>
          <w:rtl/>
        </w:rPr>
        <w:t xml:space="preserve"> </w:t>
      </w:r>
      <w:r w:rsidRPr="0092648A">
        <w:rPr>
          <w:rStyle w:val="Char"/>
          <w:rFonts w:hint="cs"/>
          <w:rtl/>
        </w:rPr>
        <w:t>لم</w:t>
      </w:r>
      <w:r w:rsidRPr="0092648A">
        <w:rPr>
          <w:rStyle w:val="Char"/>
          <w:rtl/>
        </w:rPr>
        <w:t xml:space="preserve"> </w:t>
      </w:r>
      <w:r w:rsidRPr="0092648A">
        <w:rPr>
          <w:rStyle w:val="Char"/>
          <w:rFonts w:hint="cs"/>
          <w:rtl/>
        </w:rPr>
        <w:t>تكن الفجوة</w:t>
      </w:r>
      <w:r w:rsidRPr="0092648A">
        <w:rPr>
          <w:rStyle w:val="Char"/>
          <w:rtl/>
        </w:rPr>
        <w:t xml:space="preserve"> </w:t>
      </w:r>
      <w:r w:rsidRPr="0092648A">
        <w:rPr>
          <w:rStyle w:val="Char"/>
          <w:rFonts w:hint="cs"/>
          <w:rtl/>
        </w:rPr>
        <w:t>فيها بين</w:t>
      </w:r>
      <w:r w:rsidRPr="0092648A">
        <w:rPr>
          <w:rStyle w:val="Char"/>
          <w:rtl/>
        </w:rPr>
        <w:t xml:space="preserve"> </w:t>
      </w:r>
      <w:r w:rsidRPr="0092648A">
        <w:rPr>
          <w:rStyle w:val="Char"/>
          <w:rFonts w:hint="cs"/>
          <w:rtl/>
        </w:rPr>
        <w:t>النظام</w:t>
      </w:r>
      <w:r w:rsidRPr="0092648A">
        <w:rPr>
          <w:rStyle w:val="Char"/>
          <w:rtl/>
        </w:rPr>
        <w:t xml:space="preserve"> </w:t>
      </w:r>
      <w:r w:rsidRPr="0092648A">
        <w:rPr>
          <w:rStyle w:val="Char"/>
          <w:rFonts w:hint="cs"/>
          <w:rtl/>
        </w:rPr>
        <w:t>والشعب</w:t>
      </w:r>
      <w:r w:rsidRPr="0092648A">
        <w:rPr>
          <w:rStyle w:val="Char"/>
          <w:rtl/>
        </w:rPr>
        <w:t xml:space="preserve"> </w:t>
      </w:r>
      <w:r w:rsidRPr="0092648A">
        <w:rPr>
          <w:rStyle w:val="Char"/>
          <w:rFonts w:hint="cs"/>
          <w:rtl/>
        </w:rPr>
        <w:t>قد أصبحت عميقة</w:t>
      </w:r>
      <w:r w:rsidRPr="0092648A">
        <w:rPr>
          <w:rStyle w:val="Char"/>
          <w:rtl/>
        </w:rPr>
        <w:t xml:space="preserve"> </w:t>
      </w:r>
      <w:r w:rsidRPr="0092648A">
        <w:rPr>
          <w:rStyle w:val="Char"/>
          <w:rFonts w:hint="cs"/>
          <w:rtl/>
        </w:rPr>
        <w:t>جدًّا</w:t>
      </w:r>
      <w:r w:rsidRPr="0092648A">
        <w:rPr>
          <w:rStyle w:val="Char"/>
          <w:rtl/>
        </w:rPr>
        <w:t xml:space="preserve"> </w:t>
      </w:r>
      <w:r w:rsidRPr="0092648A">
        <w:rPr>
          <w:rStyle w:val="Char"/>
          <w:rFonts w:hint="cs"/>
          <w:rtl/>
        </w:rPr>
        <w:t>بعد،</w:t>
      </w:r>
      <w:r>
        <w:rPr>
          <w:rFonts w:cs="Times New Roman" w:hint="cs"/>
          <w:rtl/>
          <w:lang w:bidi="ar-SY"/>
        </w:rPr>
        <w:t xml:space="preserve"> </w:t>
      </w:r>
      <w:r w:rsidRPr="0092648A">
        <w:rPr>
          <w:rStyle w:val="Char"/>
          <w:rFonts w:hint="cs"/>
          <w:rtl/>
        </w:rPr>
        <w:t>في نشر</w:t>
      </w:r>
      <w:r w:rsidRPr="0092648A">
        <w:rPr>
          <w:rStyle w:val="Char"/>
          <w:rtl/>
        </w:rPr>
        <w:t xml:space="preserve"> </w:t>
      </w:r>
      <w:r w:rsidRPr="0092648A">
        <w:rPr>
          <w:rStyle w:val="Char"/>
          <w:rFonts w:hint="cs"/>
          <w:rtl/>
        </w:rPr>
        <w:t>الموضوعات</w:t>
      </w:r>
      <w:r w:rsidRPr="0092648A">
        <w:rPr>
          <w:rStyle w:val="Char"/>
          <w:rtl/>
        </w:rPr>
        <w:t xml:space="preserve"> </w:t>
      </w:r>
      <w:r w:rsidRPr="0092648A">
        <w:rPr>
          <w:rStyle w:val="Char"/>
          <w:rFonts w:hint="cs"/>
          <w:rtl/>
        </w:rPr>
        <w:t>الدينية</w:t>
      </w:r>
      <w:r w:rsidRPr="0092648A">
        <w:rPr>
          <w:rStyle w:val="Char"/>
          <w:rtl/>
        </w:rPr>
        <w:t xml:space="preserve"> </w:t>
      </w:r>
      <w:r w:rsidRPr="0092648A">
        <w:rPr>
          <w:rStyle w:val="Char"/>
          <w:rFonts w:hint="cs"/>
          <w:rtl/>
        </w:rPr>
        <w:t>بين</w:t>
      </w:r>
      <w:r w:rsidRPr="0092648A">
        <w:rPr>
          <w:rStyle w:val="Char"/>
          <w:rtl/>
        </w:rPr>
        <w:t xml:space="preserve"> </w:t>
      </w:r>
      <w:r w:rsidRPr="0092648A">
        <w:rPr>
          <w:rStyle w:val="Char"/>
          <w:rFonts w:hint="cs"/>
          <w:rtl/>
        </w:rPr>
        <w:t>أفراد</w:t>
      </w:r>
      <w:r w:rsidRPr="0092648A">
        <w:rPr>
          <w:rStyle w:val="Char"/>
          <w:rtl/>
        </w:rPr>
        <w:t xml:space="preserve"> </w:t>
      </w:r>
      <w:r w:rsidRPr="0092648A">
        <w:rPr>
          <w:rStyle w:val="Char"/>
          <w:rFonts w:hint="cs"/>
          <w:rtl/>
        </w:rPr>
        <w:t>الجيل</w:t>
      </w:r>
      <w:r w:rsidRPr="0092648A">
        <w:rPr>
          <w:rStyle w:val="Char"/>
          <w:rtl/>
        </w:rPr>
        <w:t xml:space="preserve"> </w:t>
      </w:r>
      <w:r w:rsidRPr="0092648A">
        <w:rPr>
          <w:rStyle w:val="Char"/>
          <w:rFonts w:hint="cs"/>
          <w:rtl/>
        </w:rPr>
        <w:t>الجديد،</w:t>
      </w:r>
      <w:r w:rsidRPr="0092648A">
        <w:rPr>
          <w:rStyle w:val="Char"/>
          <w:rtl/>
        </w:rPr>
        <w:t xml:space="preserve"> </w:t>
      </w:r>
      <w:r w:rsidRPr="0092648A">
        <w:rPr>
          <w:rStyle w:val="Char"/>
          <w:rFonts w:hint="cs"/>
          <w:rtl/>
        </w:rPr>
        <w:t>لهذا</w:t>
      </w:r>
      <w:r w:rsidRPr="0092648A">
        <w:rPr>
          <w:rStyle w:val="Char"/>
          <w:rtl/>
        </w:rPr>
        <w:t xml:space="preserve"> </w:t>
      </w:r>
      <w:r w:rsidRPr="0092648A">
        <w:rPr>
          <w:rStyle w:val="Char"/>
          <w:rFonts w:hint="cs"/>
          <w:rtl/>
        </w:rPr>
        <w:t>كان</w:t>
      </w:r>
      <w:r w:rsidRPr="0092648A">
        <w:rPr>
          <w:rStyle w:val="Char"/>
          <w:rtl/>
        </w:rPr>
        <w:t xml:space="preserve"> </w:t>
      </w:r>
      <w:r w:rsidRPr="0092648A">
        <w:rPr>
          <w:rStyle w:val="Char"/>
          <w:rFonts w:hint="cs"/>
          <w:rtl/>
        </w:rPr>
        <w:t>كثير</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الخطباء</w:t>
      </w:r>
      <w:r w:rsidRPr="0092648A">
        <w:rPr>
          <w:rStyle w:val="Char"/>
          <w:rtl/>
        </w:rPr>
        <w:t xml:space="preserve"> </w:t>
      </w:r>
      <w:r w:rsidRPr="0092648A">
        <w:rPr>
          <w:rStyle w:val="Char"/>
          <w:rFonts w:hint="cs"/>
          <w:rtl/>
        </w:rPr>
        <w:t>الدينيين</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عَقْدَي</w:t>
      </w:r>
      <w:r w:rsidRPr="0092648A">
        <w:rPr>
          <w:rStyle w:val="Char"/>
          <w:rtl/>
        </w:rPr>
        <w:t xml:space="preserve"> </w:t>
      </w:r>
      <w:r w:rsidRPr="0092648A">
        <w:rPr>
          <w:rStyle w:val="Char"/>
          <w:rFonts w:hint="cs"/>
          <w:rtl/>
        </w:rPr>
        <w:t>العشرينيات</w:t>
      </w:r>
      <w:r w:rsidRPr="0092648A">
        <w:rPr>
          <w:rStyle w:val="Char"/>
          <w:rtl/>
        </w:rPr>
        <w:t xml:space="preserve"> </w:t>
      </w:r>
      <w:r w:rsidRPr="0092648A">
        <w:rPr>
          <w:rStyle w:val="Char"/>
          <w:rFonts w:hint="cs"/>
          <w:rtl/>
        </w:rPr>
        <w:t>والثلاثينيات</w:t>
      </w:r>
      <w:r w:rsidRPr="006E28E9">
        <w:rPr>
          <w:rStyle w:val="Char"/>
          <w:rFonts w:ascii="Arabic11 BT" w:hAnsi="Arabic11 BT" w:cs="Arabic11 BT"/>
          <w:vertAlign w:val="superscript"/>
          <w:rtl/>
        </w:rPr>
        <w:footnoteReference w:id="30"/>
      </w:r>
      <w:r w:rsidRPr="0092648A">
        <w:rPr>
          <w:rStyle w:val="Char"/>
          <w:rtl/>
        </w:rPr>
        <w:t xml:space="preserve"> </w:t>
      </w:r>
      <w:r w:rsidRPr="0092648A">
        <w:rPr>
          <w:rStyle w:val="Char"/>
          <w:rFonts w:hint="cs"/>
          <w:rtl/>
        </w:rPr>
        <w:t>يقومون</w:t>
      </w:r>
      <w:r w:rsidRPr="0092648A">
        <w:rPr>
          <w:rStyle w:val="Char"/>
          <w:rtl/>
        </w:rPr>
        <w:t xml:space="preserve"> </w:t>
      </w:r>
      <w:r w:rsidRPr="0092648A">
        <w:rPr>
          <w:rStyle w:val="Char"/>
          <w:rFonts w:hint="cs"/>
          <w:rtl/>
        </w:rPr>
        <w:t>ب</w:t>
      </w:r>
      <w:r w:rsidRPr="0092648A">
        <w:rPr>
          <w:rStyle w:val="Char"/>
          <w:rtl/>
        </w:rPr>
        <w:t>إلقاء الدروس عبر المذياع ومنهم آية الله الطالقاني، و الشيخ مطهري.</w:t>
      </w:r>
    </w:p>
    <w:p w:rsidR="00DA6CFB" w:rsidRDefault="00DA6CFB" w:rsidP="0092648A">
      <w:pPr>
        <w:pStyle w:val="2"/>
        <w:rPr>
          <w:rtl/>
        </w:rPr>
      </w:pPr>
      <w:bookmarkStart w:id="16" w:name="_Toc444083803"/>
      <w:r w:rsidRPr="00975940">
        <w:rPr>
          <w:rtl/>
        </w:rPr>
        <w:t>2</w:t>
      </w:r>
      <w:r>
        <w:rPr>
          <w:rFonts w:hint="cs"/>
          <w:rtl/>
        </w:rPr>
        <w:t xml:space="preserve">. </w:t>
      </w:r>
      <w:r w:rsidRPr="00975940">
        <w:rPr>
          <w:rtl/>
        </w:rPr>
        <w:t xml:space="preserve">بدء النشاطات الدينية </w:t>
      </w:r>
      <w:r w:rsidRPr="00975940">
        <w:rPr>
          <w:rFonts w:ascii="Times New Roman" w:hAnsi="Times New Roman" w:cs="Times New Roman" w:hint="cs"/>
          <w:rtl/>
        </w:rPr>
        <w:t>–</w:t>
      </w:r>
      <w:r w:rsidRPr="00975940">
        <w:rPr>
          <w:rtl/>
        </w:rPr>
        <w:t xml:space="preserve"> </w:t>
      </w:r>
      <w:r w:rsidRPr="00975940">
        <w:rPr>
          <w:rFonts w:hint="cs"/>
          <w:rtl/>
        </w:rPr>
        <w:t>السياسية</w:t>
      </w:r>
      <w:r w:rsidRPr="00975940">
        <w:rPr>
          <w:rtl/>
        </w:rPr>
        <w:t xml:space="preserve"> </w:t>
      </w:r>
      <w:r w:rsidRPr="00975940">
        <w:rPr>
          <w:rFonts w:hint="cs"/>
          <w:rtl/>
        </w:rPr>
        <w:t>لمراجع</w:t>
      </w:r>
      <w:r w:rsidRPr="00975940">
        <w:rPr>
          <w:rtl/>
        </w:rPr>
        <w:t xml:space="preserve"> </w:t>
      </w:r>
      <w:r w:rsidRPr="00975940">
        <w:rPr>
          <w:rFonts w:hint="cs"/>
          <w:rtl/>
        </w:rPr>
        <w:t>التقليد</w:t>
      </w:r>
      <w:bookmarkEnd w:id="16"/>
      <w:r w:rsidRPr="00975940">
        <w:rPr>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w:t>
      </w:r>
      <w:r w:rsidRPr="0092648A">
        <w:rPr>
          <w:rStyle w:val="Char"/>
          <w:rtl/>
        </w:rPr>
        <w:t xml:space="preserve"> </w:t>
      </w:r>
      <w:r w:rsidRPr="0092648A">
        <w:rPr>
          <w:rStyle w:val="Char"/>
          <w:rFonts w:hint="cs"/>
          <w:rtl/>
        </w:rPr>
        <w:t>جميع مراحل</w:t>
      </w:r>
      <w:r w:rsidRPr="0092648A">
        <w:rPr>
          <w:rStyle w:val="Char"/>
          <w:rtl/>
        </w:rPr>
        <w:t xml:space="preserve"> </w:t>
      </w:r>
      <w:r w:rsidRPr="0092648A">
        <w:rPr>
          <w:rStyle w:val="Char"/>
          <w:rFonts w:hint="cs"/>
          <w:rtl/>
        </w:rPr>
        <w:t>التاريخ</w:t>
      </w:r>
      <w:r w:rsidRPr="0092648A">
        <w:rPr>
          <w:rStyle w:val="Char"/>
          <w:rtl/>
        </w:rPr>
        <w:t xml:space="preserve"> </w:t>
      </w:r>
      <w:r w:rsidRPr="0092648A">
        <w:rPr>
          <w:rStyle w:val="Char"/>
          <w:rFonts w:hint="cs"/>
          <w:rtl/>
        </w:rPr>
        <w:t>الديني</w:t>
      </w:r>
      <w:r w:rsidRPr="0092648A">
        <w:rPr>
          <w:rStyle w:val="Char"/>
          <w:rtl/>
        </w:rPr>
        <w:t xml:space="preserve"> </w:t>
      </w:r>
      <w:r w:rsidRPr="0092648A">
        <w:rPr>
          <w:rStyle w:val="Char"/>
          <w:rFonts w:hint="cs"/>
          <w:rtl/>
        </w:rPr>
        <w:t>لإيران،</w:t>
      </w:r>
      <w:r w:rsidRPr="0092648A">
        <w:rPr>
          <w:rStyle w:val="Char"/>
          <w:rtl/>
        </w:rPr>
        <w:t xml:space="preserve"> </w:t>
      </w:r>
      <w:r w:rsidRPr="0092648A">
        <w:rPr>
          <w:rStyle w:val="Char"/>
          <w:rFonts w:hint="cs"/>
          <w:rtl/>
        </w:rPr>
        <w:t>وبشكل</w:t>
      </w:r>
      <w:r w:rsidRPr="0092648A">
        <w:rPr>
          <w:rStyle w:val="Char"/>
          <w:rtl/>
        </w:rPr>
        <w:t xml:space="preserve"> </w:t>
      </w:r>
      <w:r w:rsidRPr="0092648A">
        <w:rPr>
          <w:rStyle w:val="Char"/>
          <w:rFonts w:hint="cs"/>
          <w:rtl/>
        </w:rPr>
        <w:t>خاص</w:t>
      </w:r>
      <w:r w:rsidRPr="0092648A">
        <w:rPr>
          <w:rStyle w:val="Char"/>
          <w:rtl/>
        </w:rPr>
        <w:t xml:space="preserve"> </w:t>
      </w:r>
      <w:r w:rsidRPr="0092648A">
        <w:rPr>
          <w:rStyle w:val="Char"/>
          <w:rFonts w:hint="cs"/>
          <w:rtl/>
        </w:rPr>
        <w:t>ابتداءً</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عصر</w:t>
      </w:r>
      <w:r w:rsidRPr="0092648A">
        <w:rPr>
          <w:rStyle w:val="Char"/>
          <w:rtl/>
        </w:rPr>
        <w:t xml:space="preserve"> </w:t>
      </w:r>
      <w:r w:rsidRPr="0092648A">
        <w:rPr>
          <w:rStyle w:val="Char"/>
          <w:rFonts w:hint="cs"/>
          <w:rtl/>
        </w:rPr>
        <w:t>الصفويين</w:t>
      </w:r>
      <w:r w:rsidRPr="0092648A">
        <w:rPr>
          <w:rStyle w:val="Char"/>
          <w:rtl/>
        </w:rPr>
        <w:t xml:space="preserve"> </w:t>
      </w:r>
      <w:r w:rsidRPr="0092648A">
        <w:rPr>
          <w:rStyle w:val="Char"/>
          <w:rFonts w:hint="cs"/>
          <w:rtl/>
        </w:rPr>
        <w:t>فما</w:t>
      </w:r>
      <w:r w:rsidRPr="0092648A">
        <w:rPr>
          <w:rStyle w:val="Char"/>
          <w:rtl/>
        </w:rPr>
        <w:t xml:space="preserve"> </w:t>
      </w:r>
      <w:r w:rsidRPr="0092648A">
        <w:rPr>
          <w:rStyle w:val="Char"/>
          <w:rFonts w:hint="cs"/>
          <w:rtl/>
        </w:rPr>
        <w:t>بعد،</w:t>
      </w:r>
      <w:r w:rsidRPr="0092648A">
        <w:rPr>
          <w:rStyle w:val="Char"/>
          <w:rtl/>
        </w:rPr>
        <w:t xml:space="preserve"> </w:t>
      </w:r>
      <w:r w:rsidRPr="0092648A">
        <w:rPr>
          <w:rStyle w:val="Char"/>
          <w:rFonts w:hint="cs"/>
          <w:rtl/>
        </w:rPr>
        <w:t>أي</w:t>
      </w:r>
      <w:r w:rsidRPr="0092648A">
        <w:rPr>
          <w:rStyle w:val="Char"/>
          <w:rtl/>
        </w:rPr>
        <w:t xml:space="preserve"> </w:t>
      </w:r>
      <w:r w:rsidRPr="0092648A">
        <w:rPr>
          <w:rStyle w:val="Char"/>
          <w:rFonts w:hint="cs"/>
          <w:rtl/>
        </w:rPr>
        <w:t>العصر</w:t>
      </w:r>
      <w:r w:rsidRPr="0092648A">
        <w:rPr>
          <w:rStyle w:val="Char"/>
          <w:rtl/>
        </w:rPr>
        <w:t xml:space="preserve"> </w:t>
      </w:r>
      <w:r w:rsidRPr="0092648A">
        <w:rPr>
          <w:rStyle w:val="Char"/>
          <w:rFonts w:hint="cs"/>
          <w:rtl/>
        </w:rPr>
        <w:t>الذي</w:t>
      </w:r>
      <w:r w:rsidRPr="0092648A">
        <w:rPr>
          <w:rStyle w:val="Char"/>
          <w:rtl/>
        </w:rPr>
        <w:t xml:space="preserve"> </w:t>
      </w:r>
      <w:r w:rsidRPr="0092648A">
        <w:rPr>
          <w:rStyle w:val="Char"/>
          <w:rFonts w:hint="cs"/>
          <w:rtl/>
        </w:rPr>
        <w:t>تبلور</w:t>
      </w:r>
      <w:r w:rsidRPr="0092648A">
        <w:rPr>
          <w:rStyle w:val="Char"/>
          <w:rtl/>
        </w:rPr>
        <w:t xml:space="preserve"> </w:t>
      </w:r>
      <w:r w:rsidRPr="0092648A">
        <w:rPr>
          <w:rStyle w:val="Char"/>
          <w:rFonts w:hint="cs"/>
          <w:rtl/>
        </w:rPr>
        <w:t>فيه</w:t>
      </w:r>
      <w:r w:rsidRPr="0092648A">
        <w:rPr>
          <w:rStyle w:val="Char"/>
          <w:rtl/>
        </w:rPr>
        <w:t xml:space="preserve"> </w:t>
      </w:r>
      <w:r w:rsidRPr="0092648A">
        <w:rPr>
          <w:rStyle w:val="Char"/>
          <w:rFonts w:hint="cs"/>
          <w:rtl/>
        </w:rPr>
        <w:t>مفهوم</w:t>
      </w:r>
      <w:r w:rsidRPr="0092648A">
        <w:rPr>
          <w:rStyle w:val="Char"/>
          <w:rtl/>
        </w:rPr>
        <w:t xml:space="preserve"> </w:t>
      </w:r>
      <w:r w:rsidRPr="0092648A">
        <w:rPr>
          <w:rStyle w:val="Char"/>
          <w:rFonts w:hint="cs"/>
          <w:rtl/>
        </w:rPr>
        <w:t>المجتهد</w:t>
      </w:r>
      <w:r w:rsidRPr="0092648A">
        <w:rPr>
          <w:rStyle w:val="Char"/>
          <w:rtl/>
        </w:rPr>
        <w:t xml:space="preserve"> </w:t>
      </w:r>
      <w:r w:rsidRPr="0092648A">
        <w:rPr>
          <w:rStyle w:val="Char"/>
          <w:rFonts w:hint="cs"/>
          <w:rtl/>
        </w:rPr>
        <w:t>ومجتهد</w:t>
      </w:r>
      <w:r w:rsidRPr="0092648A">
        <w:rPr>
          <w:rStyle w:val="Char"/>
          <w:rtl/>
        </w:rPr>
        <w:t xml:space="preserve"> </w:t>
      </w:r>
      <w:r w:rsidRPr="0092648A">
        <w:rPr>
          <w:rStyle w:val="Char"/>
          <w:rFonts w:hint="cs"/>
          <w:rtl/>
        </w:rPr>
        <w:t>العَصْر،</w:t>
      </w:r>
      <w:r w:rsidRPr="0092648A">
        <w:rPr>
          <w:rStyle w:val="Char"/>
          <w:rtl/>
        </w:rPr>
        <w:t xml:space="preserve"> </w:t>
      </w:r>
      <w:r w:rsidRPr="0092648A">
        <w:rPr>
          <w:rStyle w:val="Char"/>
          <w:rFonts w:hint="cs"/>
          <w:rtl/>
        </w:rPr>
        <w:t>كان</w:t>
      </w:r>
      <w:r w:rsidRPr="0092648A">
        <w:rPr>
          <w:rStyle w:val="Char"/>
          <w:rtl/>
        </w:rPr>
        <w:t xml:space="preserve"> </w:t>
      </w:r>
      <w:r w:rsidRPr="0092648A">
        <w:rPr>
          <w:rStyle w:val="Char"/>
          <w:rFonts w:hint="cs"/>
          <w:rtl/>
        </w:rPr>
        <w:t>المجتمع</w:t>
      </w:r>
      <w:r w:rsidRPr="0092648A">
        <w:rPr>
          <w:rStyle w:val="Char"/>
          <w:rtl/>
        </w:rPr>
        <w:t xml:space="preserve"> المتدي</w:t>
      </w:r>
      <w:r w:rsidRPr="0092648A">
        <w:rPr>
          <w:rStyle w:val="Char"/>
          <w:rFonts w:hint="cs"/>
          <w:rtl/>
        </w:rPr>
        <w:t>ِّ</w:t>
      </w:r>
      <w:r w:rsidRPr="0092648A">
        <w:rPr>
          <w:rStyle w:val="Char"/>
          <w:rtl/>
        </w:rPr>
        <w:t>ن في إيران يُعْتبر تابع</w:t>
      </w:r>
      <w:r w:rsidRPr="0092648A">
        <w:rPr>
          <w:rStyle w:val="Char"/>
          <w:rFonts w:hint="cs"/>
          <w:rtl/>
        </w:rPr>
        <w:t>ً</w:t>
      </w:r>
      <w:r w:rsidRPr="0092648A">
        <w:rPr>
          <w:rStyle w:val="Char"/>
          <w:rtl/>
        </w:rPr>
        <w:t>ا للمرجعية الدينية.</w:t>
      </w:r>
      <w:r w:rsidRPr="0092648A">
        <w:rPr>
          <w:rStyle w:val="Char"/>
          <w:rFonts w:hint="cs"/>
          <w:rtl/>
        </w:rPr>
        <w:t xml:space="preserve"> </w:t>
      </w:r>
      <w:r w:rsidRPr="0092648A">
        <w:rPr>
          <w:rStyle w:val="Char"/>
          <w:rtl/>
        </w:rPr>
        <w:t>بمعنى أنه، باستثناء ما يدخل تحت عنوان الأعراف ويتعلق بعمل الحكومة، كانت سلطة المرجعية هي التي تتخذ القرارات العامة بشأن المجتمع، أي مجتمع المتدينين</w:t>
      </w:r>
      <w:r w:rsidRPr="0092648A">
        <w:rPr>
          <w:rStyle w:val="Char"/>
          <w:rFonts w:hint="cs"/>
          <w:rtl/>
        </w:rPr>
        <w:t>.</w:t>
      </w:r>
      <w:r w:rsidRPr="0092648A">
        <w:rPr>
          <w:rStyle w:val="Char"/>
          <w:rtl/>
        </w:rPr>
        <w:t xml:space="preserve"> لقد كان لجهاز المرجعية الدينية أدواته و آليات عمله، وكما كانت العاصمة تخضع لرئيس الدولة المركزية، كان «بيت </w:t>
      </w:r>
      <w:r w:rsidRPr="0092648A">
        <w:rPr>
          <w:rStyle w:val="Char"/>
          <w:rtl/>
        </w:rPr>
        <w:lastRenderedPageBreak/>
        <w:t>المرجعية» يعمل كمركز ثقل هذا القسم من اتخاذ القرارات.</w:t>
      </w:r>
    </w:p>
    <w:p w:rsidR="00DA6CFB" w:rsidRPr="0092648A" w:rsidRDefault="00DA6CFB" w:rsidP="0092648A">
      <w:pPr>
        <w:widowControl w:val="0"/>
        <w:spacing w:line="216" w:lineRule="auto"/>
        <w:ind w:firstLine="284"/>
        <w:jc w:val="both"/>
        <w:rPr>
          <w:rStyle w:val="Char"/>
          <w:rtl/>
        </w:rPr>
      </w:pPr>
      <w:r w:rsidRPr="0092648A">
        <w:rPr>
          <w:rStyle w:val="Char"/>
          <w:rtl/>
        </w:rPr>
        <w:t xml:space="preserve">ظهر في النصف الثاني من عهد حكم </w:t>
      </w:r>
      <w:r w:rsidRPr="0092648A">
        <w:rPr>
          <w:rStyle w:val="Char"/>
          <w:rFonts w:hint="cs"/>
          <w:rtl/>
        </w:rPr>
        <w:t>القاجاريين</w:t>
      </w:r>
      <w:r w:rsidRPr="0092648A">
        <w:rPr>
          <w:rStyle w:val="Char"/>
          <w:rtl/>
        </w:rPr>
        <w:t xml:space="preserve"> نظامان للمرجعية: عام ومحلي، إذ</w:t>
      </w:r>
      <w:r w:rsidRPr="0092648A">
        <w:rPr>
          <w:rStyle w:val="Char"/>
          <w:rFonts w:hint="cs"/>
          <w:rtl/>
        </w:rPr>
        <w:t>ْ</w:t>
      </w:r>
      <w:r w:rsidRPr="0092648A">
        <w:rPr>
          <w:rStyle w:val="Char"/>
          <w:rtl/>
        </w:rPr>
        <w:t xml:space="preserve"> أصبحت سامراء والنجف مركزا المرجعية العامة، في حين كان </w:t>
      </w:r>
      <w:r w:rsidRPr="0092648A">
        <w:rPr>
          <w:rStyle w:val="Char"/>
          <w:rFonts w:hint="cs"/>
          <w:rtl/>
        </w:rPr>
        <w:t>واحد أو أكثر</w:t>
      </w:r>
      <w:r w:rsidRPr="0092648A">
        <w:rPr>
          <w:rStyle w:val="Char"/>
          <w:rtl/>
        </w:rPr>
        <w:t xml:space="preserve"> من المجتهدين ممن درسوا في النجف أو في غيرها من مر</w:t>
      </w:r>
      <w:r w:rsidRPr="0092648A">
        <w:rPr>
          <w:rStyle w:val="Char"/>
          <w:rFonts w:hint="cs"/>
          <w:rtl/>
        </w:rPr>
        <w:t>ا</w:t>
      </w:r>
      <w:r w:rsidRPr="0092648A">
        <w:rPr>
          <w:rStyle w:val="Char"/>
          <w:rtl/>
        </w:rPr>
        <w:t>كز العلوم الدينية، يؤدون دورهم في مدن إيران الكبرى وحتى في المدن الصغرى، بصورة مرجعية محلية</w:t>
      </w:r>
      <w:r w:rsidRPr="0092648A">
        <w:rPr>
          <w:rStyle w:val="Char"/>
          <w:rFonts w:hint="cs"/>
          <w:rtl/>
        </w:rPr>
        <w:t xml:space="preserve"> مرتبطة </w:t>
      </w:r>
      <w:r w:rsidRPr="0092648A">
        <w:rPr>
          <w:rStyle w:val="Char"/>
          <w:rtl/>
        </w:rPr>
        <w:t xml:space="preserve">بالمرجعية العامة، </w:t>
      </w:r>
      <w:r w:rsidRPr="0092648A">
        <w:rPr>
          <w:rStyle w:val="Char"/>
          <w:rFonts w:hint="cs"/>
          <w:rtl/>
        </w:rPr>
        <w:t>و</w:t>
      </w:r>
      <w:r w:rsidRPr="0092648A">
        <w:rPr>
          <w:rStyle w:val="Char"/>
          <w:rtl/>
        </w:rPr>
        <w:t xml:space="preserve">كانت أداة عمل هذا الجهاز </w:t>
      </w:r>
      <w:r w:rsidRPr="0092648A">
        <w:rPr>
          <w:rStyle w:val="Char"/>
          <w:rFonts w:hint="cs"/>
          <w:rtl/>
        </w:rPr>
        <w:t xml:space="preserve">- جهاز المرجعية - في المستويات الأكثر </w:t>
      </w:r>
      <w:r w:rsidRPr="0092648A">
        <w:rPr>
          <w:rStyle w:val="Char"/>
          <w:rtl/>
        </w:rPr>
        <w:t>عمومية للمجتمع، هي عامة الناس، وقد أصبح السوق (البازار) بالطبع، وبسبب دوره الاجتماعي والسياسي والاقتصادي الخاص في الفترة الأخيرة، يُع</w:t>
      </w:r>
      <w:r w:rsidRPr="0092648A">
        <w:rPr>
          <w:rStyle w:val="Char"/>
          <w:rFonts w:hint="cs"/>
          <w:rtl/>
        </w:rPr>
        <w:t>َ</w:t>
      </w:r>
      <w:r w:rsidRPr="0092648A">
        <w:rPr>
          <w:rStyle w:val="Char"/>
          <w:rtl/>
        </w:rPr>
        <w:t>د</w:t>
      </w:r>
      <w:r w:rsidRPr="0092648A">
        <w:rPr>
          <w:rStyle w:val="Char"/>
          <w:rFonts w:hint="cs"/>
          <w:rtl/>
        </w:rPr>
        <w:t>ّ</w:t>
      </w:r>
      <w:r w:rsidRPr="0092648A">
        <w:rPr>
          <w:rStyle w:val="Char"/>
          <w:rtl/>
        </w:rPr>
        <w:t xml:space="preserve"> أحد رافعات الضغط الأساسية </w:t>
      </w:r>
      <w:r w:rsidRPr="0092648A">
        <w:rPr>
          <w:rStyle w:val="Char"/>
          <w:rFonts w:hint="cs"/>
          <w:rtl/>
        </w:rPr>
        <w:t>على</w:t>
      </w:r>
      <w:r w:rsidRPr="0092648A">
        <w:rPr>
          <w:rStyle w:val="Char"/>
          <w:rtl/>
        </w:rPr>
        <w:t xml:space="preserve"> الحكومة، كما كان يُعتبر تابع</w:t>
      </w:r>
      <w:r w:rsidRPr="0092648A">
        <w:rPr>
          <w:rStyle w:val="Char"/>
          <w:rFonts w:hint="cs"/>
          <w:rtl/>
        </w:rPr>
        <w:t>ً</w:t>
      </w:r>
      <w:r w:rsidRPr="0092648A">
        <w:rPr>
          <w:rStyle w:val="Char"/>
          <w:rtl/>
        </w:rPr>
        <w:t>ا للمرجعية</w:t>
      </w:r>
      <w:r w:rsidRPr="0092648A">
        <w:rPr>
          <w:rStyle w:val="Char"/>
          <w:rFonts w:hint="cs"/>
          <w:rtl/>
        </w:rPr>
        <w:t>.</w:t>
      </w:r>
      <w:r w:rsidRPr="0092648A">
        <w:rPr>
          <w:rStyle w:val="Char"/>
          <w:rtl/>
        </w:rPr>
        <w:t xml:space="preserve"> كان</w:t>
      </w:r>
      <w:r w:rsidRPr="0092648A">
        <w:rPr>
          <w:rStyle w:val="Char"/>
          <w:rFonts w:hint="cs"/>
          <w:rtl/>
        </w:rPr>
        <w:t>ت</w:t>
      </w:r>
      <w:r w:rsidRPr="0092648A">
        <w:rPr>
          <w:rStyle w:val="Char"/>
          <w:rtl/>
        </w:rPr>
        <w:t xml:space="preserve"> آلية العمل هذه ترتكز </w:t>
      </w:r>
      <w:r w:rsidRPr="0092648A">
        <w:rPr>
          <w:rStyle w:val="Char"/>
          <w:rFonts w:hint="cs"/>
          <w:rtl/>
        </w:rPr>
        <w:t>ع</w:t>
      </w:r>
      <w:r w:rsidRPr="0092648A">
        <w:rPr>
          <w:rStyle w:val="Char"/>
          <w:rtl/>
        </w:rPr>
        <w:t>لى إيمان دين</w:t>
      </w:r>
      <w:r w:rsidRPr="0092648A">
        <w:rPr>
          <w:rStyle w:val="Char"/>
          <w:rFonts w:hint="cs"/>
          <w:rtl/>
        </w:rPr>
        <w:t>ي-مذهبي</w:t>
      </w:r>
      <w:r w:rsidRPr="0092648A">
        <w:rPr>
          <w:rStyle w:val="Char"/>
          <w:rtl/>
        </w:rPr>
        <w:t>.</w:t>
      </w:r>
      <w:r w:rsidRPr="0092648A">
        <w:rPr>
          <w:rStyle w:val="Char"/>
          <w:rFonts w:hint="cs"/>
          <w:rtl/>
        </w:rPr>
        <w:t xml:space="preserve"> </w:t>
      </w:r>
      <w:r w:rsidRPr="0092648A">
        <w:rPr>
          <w:rStyle w:val="Char"/>
          <w:rtl/>
        </w:rPr>
        <w:t>هذ</w:t>
      </w:r>
      <w:r w:rsidRPr="0092648A">
        <w:rPr>
          <w:rStyle w:val="Char"/>
          <w:rFonts w:hint="cs"/>
          <w:rtl/>
        </w:rPr>
        <w:t>ا</w:t>
      </w:r>
      <w:r w:rsidRPr="0092648A">
        <w:rPr>
          <w:rStyle w:val="Char"/>
          <w:rtl/>
        </w:rPr>
        <w:t xml:space="preserve"> بالإضافة إلى أن هناك في المجتمعات الدينية صلة خاصة بين عامة المتدينين وقادة الدين</w:t>
      </w:r>
      <w:r w:rsidRPr="0092648A">
        <w:rPr>
          <w:rStyle w:val="Char"/>
          <w:rFonts w:hint="cs"/>
          <w:rtl/>
        </w:rPr>
        <w:t>،</w:t>
      </w:r>
      <w:r w:rsidRPr="0092648A">
        <w:rPr>
          <w:rStyle w:val="Char"/>
          <w:rtl/>
        </w:rPr>
        <w:t xml:space="preserve"> </w:t>
      </w:r>
      <w:r w:rsidRPr="0092648A">
        <w:rPr>
          <w:rStyle w:val="Char"/>
          <w:rFonts w:hint="cs"/>
          <w:rtl/>
        </w:rPr>
        <w:t xml:space="preserve">وقد </w:t>
      </w:r>
      <w:r w:rsidRPr="0092648A">
        <w:rPr>
          <w:rStyle w:val="Char"/>
          <w:rtl/>
        </w:rPr>
        <w:t xml:space="preserve">أخذت </w:t>
      </w:r>
      <w:r w:rsidRPr="0092648A">
        <w:rPr>
          <w:rStyle w:val="Char"/>
          <w:rFonts w:hint="cs"/>
          <w:rtl/>
        </w:rPr>
        <w:t xml:space="preserve">هذه الصلة </w:t>
      </w:r>
      <w:r w:rsidRPr="0092648A">
        <w:rPr>
          <w:rStyle w:val="Char"/>
          <w:rtl/>
        </w:rPr>
        <w:t>في المجتمع الشيعي شكل التقليد</w:t>
      </w:r>
      <w:r w:rsidRPr="0092648A">
        <w:rPr>
          <w:rStyle w:val="Char"/>
          <w:rFonts w:hint="cs"/>
          <w:rtl/>
        </w:rPr>
        <w:t>.</w:t>
      </w:r>
      <w:r w:rsidRPr="0092648A">
        <w:rPr>
          <w:rStyle w:val="Char"/>
          <w:rtl/>
        </w:rPr>
        <w:t xml:space="preserve"> </w:t>
      </w:r>
      <w:r w:rsidRPr="0092648A">
        <w:rPr>
          <w:rStyle w:val="Char"/>
          <w:rFonts w:hint="cs"/>
          <w:rtl/>
        </w:rPr>
        <w:t>و</w:t>
      </w:r>
      <w:r w:rsidRPr="0092648A">
        <w:rPr>
          <w:rStyle w:val="Char"/>
          <w:rtl/>
        </w:rPr>
        <w:t>قد جعلت ضرورة</w:t>
      </w:r>
      <w:r w:rsidRPr="0092648A">
        <w:rPr>
          <w:rStyle w:val="Char"/>
          <w:rFonts w:hint="cs"/>
          <w:rtl/>
        </w:rPr>
        <w:t xml:space="preserve">ُ </w:t>
      </w:r>
      <w:r w:rsidRPr="0092648A">
        <w:rPr>
          <w:rStyle w:val="Char"/>
          <w:rtl/>
        </w:rPr>
        <w:t>تقليد المجتهد الحي</w:t>
      </w:r>
      <w:r w:rsidRPr="0092648A">
        <w:rPr>
          <w:rStyle w:val="Char"/>
          <w:rFonts w:hint="cs"/>
          <w:rtl/>
        </w:rPr>
        <w:t xml:space="preserve">، </w:t>
      </w:r>
      <w:r w:rsidRPr="0092648A">
        <w:rPr>
          <w:rStyle w:val="Char"/>
          <w:rtl/>
        </w:rPr>
        <w:t>المسلم</w:t>
      </w:r>
      <w:r w:rsidRPr="0092648A">
        <w:rPr>
          <w:rStyle w:val="Char"/>
          <w:rFonts w:hint="cs"/>
          <w:rtl/>
        </w:rPr>
        <w:t>َ</w:t>
      </w:r>
      <w:r w:rsidRPr="0092648A">
        <w:rPr>
          <w:rStyle w:val="Char"/>
          <w:rtl/>
        </w:rPr>
        <w:t xml:space="preserve"> الشيعي</w:t>
      </w:r>
      <w:r w:rsidRPr="0092648A">
        <w:rPr>
          <w:rStyle w:val="Char"/>
          <w:rFonts w:hint="cs"/>
          <w:rtl/>
        </w:rPr>
        <w:t>َّ</w:t>
      </w:r>
      <w:r w:rsidRPr="0092648A">
        <w:rPr>
          <w:rStyle w:val="Char"/>
          <w:rtl/>
        </w:rPr>
        <w:t xml:space="preserve"> المتدين</w:t>
      </w:r>
      <w:r w:rsidRPr="0092648A">
        <w:rPr>
          <w:rStyle w:val="Char"/>
          <w:rFonts w:hint="cs"/>
          <w:rtl/>
        </w:rPr>
        <w:t>َ</w:t>
      </w:r>
      <w:r w:rsidRPr="0092648A">
        <w:rPr>
          <w:rStyle w:val="Char"/>
          <w:rtl/>
        </w:rPr>
        <w:t xml:space="preserve"> على صلة وثيقة بزعيمه الديني الحيّ، وجعلت منه عضو</w:t>
      </w:r>
      <w:r w:rsidRPr="0092648A">
        <w:rPr>
          <w:rStyle w:val="Char"/>
          <w:rFonts w:hint="cs"/>
          <w:rtl/>
        </w:rPr>
        <w:t>ً</w:t>
      </w:r>
      <w:r w:rsidRPr="0092648A">
        <w:rPr>
          <w:rStyle w:val="Char"/>
          <w:rtl/>
        </w:rPr>
        <w:t xml:space="preserve">ا في مجموعة </w:t>
      </w:r>
      <w:r w:rsidRPr="0092648A">
        <w:rPr>
          <w:rStyle w:val="Char"/>
          <w:rFonts w:hint="cs"/>
          <w:rtl/>
        </w:rPr>
        <w:t>منظَّمة</w:t>
      </w:r>
      <w:r w:rsidRPr="0092648A">
        <w:rPr>
          <w:rStyle w:val="Char"/>
          <w:rtl/>
        </w:rPr>
        <w:t xml:space="preserve"> ومتحدة.</w:t>
      </w:r>
      <w:r w:rsidRPr="006E28E9">
        <w:rPr>
          <w:rStyle w:val="Char"/>
          <w:rFonts w:ascii="Arabic11 BT" w:hAnsi="Arabic11 BT" w:cs="Arabic11 BT"/>
          <w:vertAlign w:val="superscript"/>
          <w:rtl/>
        </w:rPr>
        <w:footnoteReference w:id="31"/>
      </w:r>
    </w:p>
    <w:p w:rsidR="00DA6CFB" w:rsidRPr="0092648A" w:rsidRDefault="00DA6CFB" w:rsidP="0092648A">
      <w:pPr>
        <w:widowControl w:val="0"/>
        <w:spacing w:line="216" w:lineRule="auto"/>
        <w:ind w:firstLine="284"/>
        <w:jc w:val="both"/>
        <w:rPr>
          <w:rStyle w:val="Char"/>
          <w:rtl/>
        </w:rPr>
      </w:pPr>
      <w:r w:rsidRPr="0092648A">
        <w:rPr>
          <w:rStyle w:val="Char"/>
          <w:rtl/>
        </w:rPr>
        <w:t xml:space="preserve">من الجدير بالذكر أن دائرة نشاط مراجع التقليد في عهد رضا خان كانت محدودة للغاية بسبب القيود الكثيرة التي كان النظام يفرضها على مؤسسة رجال الدين، وبسبب </w:t>
      </w:r>
      <w:r w:rsidRPr="0092648A">
        <w:rPr>
          <w:rStyle w:val="Char"/>
          <w:rFonts w:hint="cs"/>
          <w:rtl/>
        </w:rPr>
        <w:t>تواجد</w:t>
      </w:r>
      <w:r w:rsidRPr="0092648A">
        <w:rPr>
          <w:rStyle w:val="Char"/>
          <w:rtl/>
        </w:rPr>
        <w:t xml:space="preserve"> المرجعية العامة للشيعة خارج إيران، وسوف نتكلم لاحق</w:t>
      </w:r>
      <w:r w:rsidRPr="0092648A">
        <w:rPr>
          <w:rStyle w:val="Char"/>
          <w:rFonts w:hint="cs"/>
          <w:rtl/>
        </w:rPr>
        <w:t>ً</w:t>
      </w:r>
      <w:r w:rsidRPr="0092648A">
        <w:rPr>
          <w:rStyle w:val="Char"/>
          <w:rtl/>
        </w:rPr>
        <w:t>ا،</w:t>
      </w:r>
      <w:r w:rsidRPr="0092648A">
        <w:rPr>
          <w:rStyle w:val="Char"/>
          <w:rFonts w:hint="cs"/>
          <w:rtl/>
        </w:rPr>
        <w:t xml:space="preserve"> </w:t>
      </w:r>
      <w:r w:rsidRPr="0092648A">
        <w:rPr>
          <w:rStyle w:val="Char"/>
          <w:rtl/>
        </w:rPr>
        <w:t xml:space="preserve">بشكل إجمالي، </w:t>
      </w:r>
      <w:r w:rsidRPr="0092648A">
        <w:rPr>
          <w:rStyle w:val="Char"/>
          <w:rFonts w:hint="cs"/>
          <w:rtl/>
        </w:rPr>
        <w:t>عن</w:t>
      </w:r>
      <w:r w:rsidRPr="0092648A">
        <w:rPr>
          <w:rStyle w:val="Char"/>
          <w:rtl/>
        </w:rPr>
        <w:t xml:space="preserve"> وضع الحوزة في ذلك العهد الرضاخاني و</w:t>
      </w:r>
      <w:r w:rsidRPr="0092648A">
        <w:rPr>
          <w:rStyle w:val="Char"/>
          <w:rFonts w:hint="cs"/>
          <w:rtl/>
        </w:rPr>
        <w:t xml:space="preserve">عن </w:t>
      </w:r>
      <w:r w:rsidRPr="0092648A">
        <w:rPr>
          <w:rStyle w:val="Char"/>
          <w:rtl/>
        </w:rPr>
        <w:t xml:space="preserve">تحول أوضاع الحوزة في المراحل </w:t>
      </w:r>
      <w:r w:rsidRPr="0092648A">
        <w:rPr>
          <w:rStyle w:val="Char"/>
          <w:rFonts w:hint="cs"/>
          <w:rtl/>
        </w:rPr>
        <w:t>التالية</w:t>
      </w:r>
      <w:r w:rsidRPr="0092648A">
        <w:rPr>
          <w:rStyle w:val="Char"/>
          <w:rtl/>
        </w:rPr>
        <w:t>.</w:t>
      </w:r>
    </w:p>
    <w:p w:rsidR="00DA6CFB" w:rsidRPr="0092648A" w:rsidRDefault="00DA6CFB" w:rsidP="0092648A">
      <w:pPr>
        <w:widowControl w:val="0"/>
        <w:spacing w:line="216" w:lineRule="auto"/>
        <w:ind w:firstLine="284"/>
        <w:jc w:val="both"/>
        <w:rPr>
          <w:rStyle w:val="Char"/>
          <w:rtl/>
        </w:rPr>
      </w:pPr>
      <w:r w:rsidRPr="0092648A">
        <w:rPr>
          <w:rStyle w:val="Char"/>
          <w:rtl/>
        </w:rPr>
        <w:t>كانت المرجعية الدينية الإيرانية في هذه المرحلة الزمنية حسب الوضع المعتاد في العهد القاجاري</w:t>
      </w:r>
      <w:r w:rsidRPr="006E28E9">
        <w:rPr>
          <w:rStyle w:val="Char"/>
          <w:rFonts w:ascii="Arabic11 BT" w:hAnsi="Arabic11 BT" w:cs="Arabic11 BT"/>
          <w:vertAlign w:val="superscript"/>
          <w:rtl/>
        </w:rPr>
        <w:footnoteReference w:id="32"/>
      </w:r>
      <w:r w:rsidRPr="0092648A">
        <w:rPr>
          <w:rStyle w:val="Char"/>
          <w:rtl/>
        </w:rPr>
        <w:t xml:space="preserve"> </w:t>
      </w:r>
      <w:r w:rsidRPr="0092648A">
        <w:rPr>
          <w:rStyle w:val="Char"/>
          <w:rFonts w:hint="cs"/>
          <w:rtl/>
        </w:rPr>
        <w:t xml:space="preserve">- </w:t>
      </w:r>
      <w:r w:rsidRPr="0092648A">
        <w:rPr>
          <w:rStyle w:val="Char"/>
          <w:rtl/>
        </w:rPr>
        <w:t xml:space="preserve">ما عدا فترة استثنائية زمن الميرزا الكبير </w:t>
      </w:r>
      <w:r w:rsidRPr="00975940">
        <w:rPr>
          <w:rFonts w:cs="Times New Roman" w:hint="cs"/>
          <w:rtl/>
          <w:lang w:bidi="ar-SY"/>
        </w:rPr>
        <w:t>–</w:t>
      </w:r>
      <w:r w:rsidRPr="0092648A">
        <w:rPr>
          <w:rStyle w:val="Char"/>
          <w:rtl/>
        </w:rPr>
        <w:t xml:space="preserve"> </w:t>
      </w:r>
      <w:r w:rsidRPr="0092648A">
        <w:rPr>
          <w:rStyle w:val="Char"/>
          <w:rFonts w:hint="cs"/>
          <w:rtl/>
        </w:rPr>
        <w:t>مستقرة</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النجف</w:t>
      </w:r>
      <w:r w:rsidRPr="0092648A">
        <w:rPr>
          <w:rStyle w:val="Char"/>
          <w:rtl/>
        </w:rPr>
        <w:t>، لك</w:t>
      </w:r>
      <w:r w:rsidRPr="0092648A">
        <w:rPr>
          <w:rStyle w:val="Char"/>
          <w:rFonts w:hint="cs"/>
          <w:rtl/>
        </w:rPr>
        <w:t>ن</w:t>
      </w:r>
      <w:r w:rsidRPr="0092648A">
        <w:rPr>
          <w:rStyle w:val="Char"/>
          <w:rtl/>
        </w:rPr>
        <w:t xml:space="preserve"> بعد استقرار المرحوم الحاج الشيخ عبد الكريم الحائري في قم، توجهت الأنظار </w:t>
      </w:r>
      <w:r w:rsidRPr="00975940">
        <w:rPr>
          <w:rFonts w:cs="Times New Roman" w:hint="cs"/>
          <w:rtl/>
          <w:lang w:bidi="ar-SY"/>
        </w:rPr>
        <w:t>–</w:t>
      </w:r>
      <w:r w:rsidRPr="0092648A">
        <w:rPr>
          <w:rStyle w:val="Char"/>
          <w:rtl/>
        </w:rPr>
        <w:t xml:space="preserve"> </w:t>
      </w:r>
      <w:r w:rsidRPr="0092648A">
        <w:rPr>
          <w:rStyle w:val="Char"/>
          <w:rFonts w:hint="cs"/>
          <w:rtl/>
        </w:rPr>
        <w:t>إلى</w:t>
      </w:r>
      <w:r w:rsidRPr="0092648A">
        <w:rPr>
          <w:rStyle w:val="Char"/>
          <w:rtl/>
        </w:rPr>
        <w:t xml:space="preserve"> </w:t>
      </w:r>
      <w:r w:rsidRPr="0092648A">
        <w:rPr>
          <w:rStyle w:val="Char"/>
          <w:rFonts w:hint="cs"/>
          <w:rtl/>
        </w:rPr>
        <w:t>حد</w:t>
      </w:r>
      <w:r w:rsidRPr="0092648A">
        <w:rPr>
          <w:rStyle w:val="Char"/>
          <w:rtl/>
        </w:rPr>
        <w:t xml:space="preserve"> </w:t>
      </w:r>
      <w:r w:rsidRPr="0092648A">
        <w:rPr>
          <w:rStyle w:val="Char"/>
          <w:rFonts w:hint="cs"/>
          <w:rtl/>
        </w:rPr>
        <w:t>ما</w:t>
      </w:r>
      <w:r w:rsidRPr="0092648A">
        <w:rPr>
          <w:rStyle w:val="Char"/>
          <w:rtl/>
        </w:rPr>
        <w:t xml:space="preserve">- </w:t>
      </w:r>
      <w:r w:rsidRPr="0092648A">
        <w:rPr>
          <w:rStyle w:val="Char"/>
          <w:rFonts w:hint="cs"/>
          <w:rtl/>
        </w:rPr>
        <w:t>نحوه</w:t>
      </w:r>
      <w:r w:rsidRPr="0092648A">
        <w:rPr>
          <w:rStyle w:val="Char"/>
          <w:rtl/>
        </w:rPr>
        <w:t>.</w:t>
      </w:r>
    </w:p>
    <w:p w:rsidR="00DA6CFB" w:rsidRPr="0092648A" w:rsidRDefault="00DA6CFB" w:rsidP="0092648A">
      <w:pPr>
        <w:widowControl w:val="0"/>
        <w:spacing w:line="216" w:lineRule="auto"/>
        <w:ind w:firstLine="284"/>
        <w:jc w:val="both"/>
        <w:rPr>
          <w:rStyle w:val="Char"/>
          <w:rtl/>
        </w:rPr>
      </w:pPr>
      <w:r w:rsidRPr="0092648A">
        <w:rPr>
          <w:rStyle w:val="Char"/>
          <w:rtl/>
        </w:rPr>
        <w:t>قبل ذلك كان بعض العلماء قد تكلموا عن ضرورة أن تكون مرجعية الإيرا</w:t>
      </w:r>
      <w:r w:rsidRPr="0092648A">
        <w:rPr>
          <w:rStyle w:val="Char"/>
          <w:rFonts w:hint="cs"/>
          <w:rtl/>
        </w:rPr>
        <w:t>ني</w:t>
      </w:r>
      <w:r w:rsidRPr="0092648A">
        <w:rPr>
          <w:rStyle w:val="Char"/>
          <w:rtl/>
        </w:rPr>
        <w:t xml:space="preserve">ين الدينية مستقرة في إيران، وبالفعل تحقق هذا الأمر في يوم النيروز من عام 1301 هـ.ش </w:t>
      </w:r>
      <w:r w:rsidRPr="0092648A">
        <w:rPr>
          <w:rStyle w:val="Char"/>
          <w:rFonts w:hint="cs"/>
          <w:rtl/>
        </w:rPr>
        <w:t>(</w:t>
      </w:r>
      <w:r w:rsidRPr="0092648A">
        <w:rPr>
          <w:rStyle w:val="Char"/>
          <w:rtl/>
        </w:rPr>
        <w:t>1340هـ.ق) بمجيء الحاج الشيخ عبد الكريم الحائري إلى قم</w:t>
      </w:r>
      <w:r w:rsidRPr="0092648A">
        <w:rPr>
          <w:rStyle w:val="Char"/>
          <w:rFonts w:hint="cs"/>
          <w:rtl/>
        </w:rPr>
        <w:t>.</w:t>
      </w:r>
      <w:r w:rsidRPr="0092648A">
        <w:rPr>
          <w:rStyle w:val="Char"/>
          <w:rtl/>
        </w:rPr>
        <w:t xml:space="preserve"> نص عبارة الشيخ أسد الله ممقاني التي قالها قبل ثماني سنوات على </w:t>
      </w:r>
      <w:r w:rsidRPr="0092648A">
        <w:rPr>
          <w:rStyle w:val="Char"/>
          <w:rtl/>
        </w:rPr>
        <w:lastRenderedPageBreak/>
        <w:t>الأقل من تأسيس الحوزة العلمية (في قم) هو الآتي: «يجب أن ينتقل المركز الديني للإمامية إلى المشهد الرضوي أو إلى قم لأن قم أقرب إلى المركز، وأن تشكل الحوزة العلمية طبق</w:t>
      </w:r>
      <w:r w:rsidRPr="0092648A">
        <w:rPr>
          <w:rStyle w:val="Char"/>
          <w:rFonts w:hint="cs"/>
          <w:rtl/>
        </w:rPr>
        <w:t>ً</w:t>
      </w:r>
      <w:r w:rsidRPr="0092648A">
        <w:rPr>
          <w:rStyle w:val="Char"/>
          <w:rtl/>
        </w:rPr>
        <w:t>ا لأصولٍ صحيحةٍ وبرامج منظمة..... فوائد مركزية إيران غنية عن التوضيح؛ أولاً: هذا سيجذب انتباه مسلمي العالم إلى قم، ثاني</w:t>
      </w:r>
      <w:r w:rsidRPr="0092648A">
        <w:rPr>
          <w:rStyle w:val="Char"/>
          <w:rFonts w:hint="cs"/>
          <w:rtl/>
        </w:rPr>
        <w:t>ً</w:t>
      </w:r>
      <w:r w:rsidRPr="0092648A">
        <w:rPr>
          <w:rStyle w:val="Char"/>
          <w:rtl/>
        </w:rPr>
        <w:t>ا: سيبقى هذا المركز العلمي محمي</w:t>
      </w:r>
      <w:r w:rsidRPr="0092648A">
        <w:rPr>
          <w:rStyle w:val="Char"/>
          <w:rFonts w:hint="cs"/>
          <w:rtl/>
        </w:rPr>
        <w:t>ًّ</w:t>
      </w:r>
      <w:r w:rsidRPr="0092648A">
        <w:rPr>
          <w:rStyle w:val="Char"/>
          <w:rtl/>
        </w:rPr>
        <w:t>ا من نفوذ الأجانب فيه، ثالث</w:t>
      </w:r>
      <w:r w:rsidRPr="0092648A">
        <w:rPr>
          <w:rStyle w:val="Char"/>
          <w:rFonts w:hint="cs"/>
          <w:rtl/>
        </w:rPr>
        <w:t>ً</w:t>
      </w:r>
      <w:r w:rsidRPr="0092648A">
        <w:rPr>
          <w:rStyle w:val="Char"/>
          <w:rtl/>
        </w:rPr>
        <w:t>ا: ستبقى ملايين الأموال من ثروة إيران التي ترسل إلى الخارج لدفع الحقوق الشرعية، داخل إيران، ورابع</w:t>
      </w:r>
      <w:r w:rsidRPr="0092648A">
        <w:rPr>
          <w:rStyle w:val="Char"/>
          <w:rFonts w:hint="cs"/>
          <w:rtl/>
        </w:rPr>
        <w:t>ً</w:t>
      </w:r>
      <w:r w:rsidRPr="0092648A">
        <w:rPr>
          <w:rStyle w:val="Char"/>
          <w:rtl/>
        </w:rPr>
        <w:t>ا: سيكون من الممكن القيام بكل نوع من أنواع الإصلاح في الحوزة العلمية</w:t>
      </w:r>
      <w:r w:rsidRPr="0092648A">
        <w:rPr>
          <w:rStyle w:val="Char"/>
          <w:rFonts w:hint="cs"/>
          <w:rtl/>
        </w:rPr>
        <w:t>.</w:t>
      </w:r>
      <w:r w:rsidRPr="006E28E9">
        <w:rPr>
          <w:rStyle w:val="Char"/>
          <w:rFonts w:ascii="Arabic11 BT" w:hAnsi="Arabic11 BT" w:cs="Arabic11 BT"/>
          <w:vertAlign w:val="superscript"/>
          <w:rtl/>
        </w:rPr>
        <w:footnoteReference w:id="33"/>
      </w:r>
    </w:p>
    <w:p w:rsidR="00DA6CFB" w:rsidRPr="0092648A" w:rsidRDefault="00DA6CFB" w:rsidP="0092648A">
      <w:pPr>
        <w:widowControl w:val="0"/>
        <w:spacing w:line="216" w:lineRule="auto"/>
        <w:ind w:firstLine="284"/>
        <w:jc w:val="both"/>
        <w:rPr>
          <w:rStyle w:val="Char"/>
          <w:rtl/>
        </w:rPr>
      </w:pPr>
      <w:r w:rsidRPr="0092648A">
        <w:rPr>
          <w:rStyle w:val="Char"/>
          <w:rtl/>
        </w:rPr>
        <w:t>كما طرحت الدولة سنة 1304هـ.ش/</w:t>
      </w:r>
      <w:r w:rsidRPr="0092648A">
        <w:rPr>
          <w:rStyle w:val="Char"/>
          <w:rFonts w:hint="cs"/>
          <w:rtl/>
        </w:rPr>
        <w:t>1925</w:t>
      </w:r>
      <w:r w:rsidRPr="0092648A">
        <w:rPr>
          <w:rStyle w:val="Char"/>
          <w:rtl/>
        </w:rPr>
        <w:t>م خطةً لحل وفصل مشاكل الإيرانيين المقيمين في العراق وجاء في البند الأول لهذه الخطّة: «ترغيب السادة حجج الإسلام بتبديل محل مراجع التقليد من العتبات العالية إلى حضرة المعصومة في قم أو إلى مدينة مشهد المقدس</w:t>
      </w:r>
      <w:r w:rsidRPr="0092648A">
        <w:rPr>
          <w:rStyle w:val="Char"/>
          <w:rFonts w:hint="cs"/>
          <w:rtl/>
        </w:rPr>
        <w:t>ة</w:t>
      </w:r>
      <w:r w:rsidRPr="0092648A">
        <w:rPr>
          <w:rStyle w:val="Char"/>
          <w:rtl/>
        </w:rPr>
        <w:t>».</w:t>
      </w:r>
      <w:r w:rsidRPr="006E28E9">
        <w:rPr>
          <w:rStyle w:val="Char"/>
          <w:rFonts w:ascii="Arabic11 BT" w:hAnsi="Arabic11 BT" w:cs="Arabic11 BT"/>
          <w:vertAlign w:val="superscript"/>
          <w:rtl/>
        </w:rPr>
        <w:footnoteReference w:id="34"/>
      </w:r>
    </w:p>
    <w:p w:rsidR="00DA6CFB" w:rsidRPr="0092648A" w:rsidRDefault="00DA6CFB" w:rsidP="0092648A">
      <w:pPr>
        <w:widowControl w:val="0"/>
        <w:spacing w:line="216" w:lineRule="auto"/>
        <w:ind w:firstLine="284"/>
        <w:jc w:val="both"/>
        <w:rPr>
          <w:rStyle w:val="Char"/>
          <w:rtl/>
        </w:rPr>
      </w:pPr>
      <w:r w:rsidRPr="0092648A">
        <w:rPr>
          <w:rStyle w:val="Char"/>
          <w:rtl/>
        </w:rPr>
        <w:t>يتعلق هذا الطرح الثاني بزمن ما بعد تأسيس الحوزة العلمية في قم، بعد ذلك لم تسعَ دولة البهلوي أبد</w:t>
      </w:r>
      <w:r w:rsidRPr="0092648A">
        <w:rPr>
          <w:rStyle w:val="Char"/>
          <w:rFonts w:hint="cs"/>
          <w:rtl/>
        </w:rPr>
        <w:t>ً</w:t>
      </w:r>
      <w:r w:rsidRPr="0092648A">
        <w:rPr>
          <w:rStyle w:val="Char"/>
          <w:rtl/>
        </w:rPr>
        <w:t xml:space="preserve">ا </w:t>
      </w:r>
      <w:r w:rsidRPr="0092648A">
        <w:rPr>
          <w:rStyle w:val="Char"/>
          <w:rFonts w:hint="cs"/>
          <w:rtl/>
        </w:rPr>
        <w:t xml:space="preserve">إلى </w:t>
      </w:r>
      <w:r w:rsidRPr="0092648A">
        <w:rPr>
          <w:rStyle w:val="Char"/>
          <w:rtl/>
        </w:rPr>
        <w:t>تحقيق هذا البند من تلك التوصية، وكانت على العكس من ذلك تسعى إلى المحافظة على بقاء المرجعية في العتبات (في العراق).</w:t>
      </w:r>
    </w:p>
    <w:p w:rsidR="00DA6CFB" w:rsidRPr="0092648A" w:rsidRDefault="00DA6CFB" w:rsidP="0092648A">
      <w:pPr>
        <w:widowControl w:val="0"/>
        <w:spacing w:line="216" w:lineRule="auto"/>
        <w:ind w:firstLine="284"/>
        <w:jc w:val="both"/>
        <w:rPr>
          <w:rStyle w:val="Char"/>
          <w:rtl/>
        </w:rPr>
      </w:pPr>
      <w:r w:rsidRPr="0092648A">
        <w:rPr>
          <w:rStyle w:val="Char"/>
          <w:rtl/>
        </w:rPr>
        <w:t xml:space="preserve">وعلى كل حال وفَّر مجيء الحاج الشيخ الحائري إلى قم الأرضية اللازمة لإيجاد هذه المركزية، </w:t>
      </w:r>
      <w:r w:rsidRPr="0092648A">
        <w:rPr>
          <w:rStyle w:val="Char"/>
          <w:rFonts w:hint="cs"/>
          <w:rtl/>
        </w:rPr>
        <w:t>و</w:t>
      </w:r>
      <w:r w:rsidRPr="0092648A">
        <w:rPr>
          <w:rStyle w:val="Char"/>
          <w:rtl/>
        </w:rPr>
        <w:t>تولى الشيخ علي أكبر ح</w:t>
      </w:r>
      <w:r w:rsidRPr="0092648A">
        <w:rPr>
          <w:rStyle w:val="Char"/>
          <w:rFonts w:hint="cs"/>
          <w:rtl/>
        </w:rPr>
        <w:t>َ</w:t>
      </w:r>
      <w:r w:rsidRPr="0092648A">
        <w:rPr>
          <w:rStyle w:val="Char"/>
          <w:rtl/>
        </w:rPr>
        <w:t>ك</w:t>
      </w:r>
      <w:r w:rsidRPr="0092648A">
        <w:rPr>
          <w:rStyle w:val="Char"/>
          <w:rFonts w:hint="cs"/>
          <w:rtl/>
        </w:rPr>
        <w:t>َ</w:t>
      </w:r>
      <w:r w:rsidRPr="0092648A">
        <w:rPr>
          <w:rStyle w:val="Char"/>
          <w:rtl/>
        </w:rPr>
        <w:t xml:space="preserve">مي زاده </w:t>
      </w:r>
      <w:r w:rsidRPr="00975940">
        <w:rPr>
          <w:rFonts w:cs="Times New Roman" w:hint="cs"/>
          <w:rtl/>
          <w:lang w:bidi="ar-SY"/>
        </w:rPr>
        <w:t>–</w:t>
      </w:r>
      <w:r w:rsidRPr="0092648A">
        <w:rPr>
          <w:rStyle w:val="Char"/>
          <w:rtl/>
        </w:rPr>
        <w:t xml:space="preserve"> </w:t>
      </w:r>
      <w:r w:rsidRPr="0092648A">
        <w:rPr>
          <w:rStyle w:val="Char"/>
          <w:rFonts w:hint="cs"/>
          <w:rtl/>
        </w:rPr>
        <w:t>ابن</w:t>
      </w:r>
      <w:r w:rsidRPr="0092648A">
        <w:rPr>
          <w:rStyle w:val="Char"/>
          <w:rtl/>
        </w:rPr>
        <w:t xml:space="preserve"> </w:t>
      </w:r>
      <w:r w:rsidRPr="0092648A">
        <w:rPr>
          <w:rStyle w:val="Char"/>
          <w:rFonts w:hint="cs"/>
          <w:rtl/>
        </w:rPr>
        <w:t>الشيخ</w:t>
      </w:r>
      <w:r w:rsidRPr="0092648A">
        <w:rPr>
          <w:rStyle w:val="Char"/>
          <w:rtl/>
        </w:rPr>
        <w:t xml:space="preserve"> </w:t>
      </w:r>
      <w:r w:rsidRPr="0092648A">
        <w:rPr>
          <w:rStyle w:val="Char"/>
          <w:rFonts w:hint="cs"/>
          <w:rtl/>
        </w:rPr>
        <w:t>مهدي</w:t>
      </w:r>
      <w:r w:rsidRPr="0092648A">
        <w:rPr>
          <w:rStyle w:val="Char"/>
          <w:rtl/>
        </w:rPr>
        <w:t xml:space="preserve"> </w:t>
      </w:r>
      <w:r w:rsidRPr="0092648A">
        <w:rPr>
          <w:rStyle w:val="Char"/>
          <w:rFonts w:hint="cs"/>
          <w:rtl/>
        </w:rPr>
        <w:t>القمي</w:t>
      </w:r>
      <w:r w:rsidRPr="0092648A">
        <w:rPr>
          <w:rStyle w:val="Char"/>
          <w:rtl/>
        </w:rPr>
        <w:t xml:space="preserve"> </w:t>
      </w:r>
      <w:r w:rsidRPr="0092648A">
        <w:rPr>
          <w:rStyle w:val="Char"/>
          <w:rFonts w:hint="cs"/>
          <w:rtl/>
        </w:rPr>
        <w:t>پايين</w:t>
      </w:r>
      <w:r w:rsidRPr="0092648A">
        <w:rPr>
          <w:rStyle w:val="Char"/>
          <w:rFonts w:ascii="Times New Roman" w:hAnsi="Times New Roman" w:cs="Times New Roman" w:hint="cs"/>
          <w:rtl/>
        </w:rPr>
        <w:t>‌</w:t>
      </w:r>
      <w:r w:rsidRPr="0092648A">
        <w:rPr>
          <w:rStyle w:val="Char"/>
          <w:rFonts w:hint="cs"/>
          <w:rtl/>
        </w:rPr>
        <w:t>شهري</w:t>
      </w:r>
      <w:r w:rsidRPr="0092648A">
        <w:rPr>
          <w:rStyle w:val="Char"/>
          <w:rtl/>
        </w:rPr>
        <w:t xml:space="preserve"> </w:t>
      </w:r>
      <w:r w:rsidRPr="00975940">
        <w:rPr>
          <w:rFonts w:cs="Times New Roman" w:hint="cs"/>
          <w:rtl/>
          <w:lang w:bidi="ar-SY"/>
        </w:rPr>
        <w:t>–</w:t>
      </w:r>
      <w:r w:rsidRPr="0092648A">
        <w:rPr>
          <w:rStyle w:val="Char"/>
          <w:rtl/>
        </w:rPr>
        <w:t xml:space="preserve"> </w:t>
      </w:r>
      <w:r w:rsidRPr="0092648A">
        <w:rPr>
          <w:rStyle w:val="Char"/>
          <w:rFonts w:hint="cs"/>
          <w:rtl/>
        </w:rPr>
        <w:t>سنة</w:t>
      </w:r>
      <w:r w:rsidRPr="0092648A">
        <w:rPr>
          <w:rStyle w:val="Char"/>
          <w:rtl/>
        </w:rPr>
        <w:t xml:space="preserve"> 1313</w:t>
      </w:r>
      <w:r w:rsidRPr="0092648A">
        <w:rPr>
          <w:rStyle w:val="Char"/>
          <w:rFonts w:hint="cs"/>
          <w:rtl/>
        </w:rPr>
        <w:t>هـ</w:t>
      </w:r>
      <w:r w:rsidRPr="0092648A">
        <w:rPr>
          <w:rStyle w:val="Char"/>
          <w:rtl/>
        </w:rPr>
        <w:t>.</w:t>
      </w:r>
      <w:r w:rsidRPr="0092648A">
        <w:rPr>
          <w:rStyle w:val="Char"/>
          <w:rFonts w:hint="cs"/>
          <w:rtl/>
        </w:rPr>
        <w:t>ش/1934م</w:t>
      </w:r>
      <w:r w:rsidRPr="0092648A">
        <w:rPr>
          <w:rStyle w:val="Char"/>
          <w:rtl/>
        </w:rPr>
        <w:t xml:space="preserve"> </w:t>
      </w:r>
      <w:r w:rsidRPr="0092648A">
        <w:rPr>
          <w:rStyle w:val="Char"/>
          <w:rFonts w:hint="cs"/>
          <w:rtl/>
        </w:rPr>
        <w:t>أول</w:t>
      </w:r>
      <w:r w:rsidRPr="0092648A">
        <w:rPr>
          <w:rStyle w:val="Char"/>
          <w:rtl/>
        </w:rPr>
        <w:t xml:space="preserve"> </w:t>
      </w:r>
      <w:r w:rsidRPr="0092648A">
        <w:rPr>
          <w:rStyle w:val="Char"/>
          <w:rFonts w:hint="cs"/>
          <w:rtl/>
        </w:rPr>
        <w:t>استقبال</w:t>
      </w:r>
      <w:r w:rsidRPr="0092648A">
        <w:rPr>
          <w:rStyle w:val="Char"/>
          <w:rtl/>
        </w:rPr>
        <w:t xml:space="preserve"> </w:t>
      </w:r>
      <w:r w:rsidRPr="0092648A">
        <w:rPr>
          <w:rStyle w:val="Char"/>
          <w:rFonts w:hint="cs"/>
          <w:rtl/>
        </w:rPr>
        <w:t>واستضافة</w:t>
      </w:r>
      <w:r w:rsidRPr="0092648A">
        <w:rPr>
          <w:rStyle w:val="Char"/>
          <w:rtl/>
        </w:rPr>
        <w:t xml:space="preserve"> </w:t>
      </w:r>
      <w:r w:rsidRPr="0092648A">
        <w:rPr>
          <w:rStyle w:val="Char"/>
          <w:rFonts w:hint="cs"/>
          <w:rtl/>
        </w:rPr>
        <w:t>للحاج</w:t>
      </w:r>
      <w:r w:rsidRPr="0092648A">
        <w:rPr>
          <w:rStyle w:val="Char"/>
          <w:rtl/>
        </w:rPr>
        <w:t xml:space="preserve"> </w:t>
      </w:r>
      <w:r w:rsidRPr="0092648A">
        <w:rPr>
          <w:rStyle w:val="Char"/>
          <w:rFonts w:hint="cs"/>
          <w:rtl/>
        </w:rPr>
        <w:t>الشيخ</w:t>
      </w:r>
      <w:r w:rsidRPr="0092648A">
        <w:rPr>
          <w:rStyle w:val="Char"/>
          <w:rtl/>
        </w:rPr>
        <w:t xml:space="preserve"> </w:t>
      </w:r>
      <w:r w:rsidRPr="0092648A">
        <w:rPr>
          <w:rStyle w:val="Char"/>
          <w:rFonts w:hint="cs"/>
          <w:rtl/>
        </w:rPr>
        <w:t>عب</w:t>
      </w:r>
      <w:r w:rsidRPr="0092648A">
        <w:rPr>
          <w:rStyle w:val="Char"/>
          <w:rtl/>
        </w:rPr>
        <w:t>د الكريم في قم، وكان ح</w:t>
      </w:r>
      <w:r w:rsidRPr="0092648A">
        <w:rPr>
          <w:rStyle w:val="Char"/>
          <w:rFonts w:hint="cs"/>
          <w:rtl/>
        </w:rPr>
        <w:t>َ</w:t>
      </w:r>
      <w:r w:rsidRPr="0092648A">
        <w:rPr>
          <w:rStyle w:val="Char"/>
          <w:rtl/>
        </w:rPr>
        <w:t>ك</w:t>
      </w:r>
      <w:r w:rsidRPr="0092648A">
        <w:rPr>
          <w:rStyle w:val="Char"/>
          <w:rFonts w:hint="cs"/>
          <w:rtl/>
        </w:rPr>
        <w:t>َ</w:t>
      </w:r>
      <w:r w:rsidRPr="0092648A">
        <w:rPr>
          <w:rStyle w:val="Char"/>
          <w:rtl/>
        </w:rPr>
        <w:t>مي زاده في ذلك الزمن يُعد من علماء الدين الإصلاحيين ومن مريدي ك</w:t>
      </w:r>
      <w:r w:rsidRPr="0092648A">
        <w:rPr>
          <w:rStyle w:val="Char"/>
          <w:rFonts w:hint="cs"/>
          <w:rtl/>
        </w:rPr>
        <w:t>َ</w:t>
      </w:r>
      <w:r w:rsidRPr="0092648A">
        <w:rPr>
          <w:rStyle w:val="Char"/>
          <w:rtl/>
        </w:rPr>
        <w:t>س</w:t>
      </w:r>
      <w:r w:rsidRPr="0092648A">
        <w:rPr>
          <w:rStyle w:val="Char"/>
          <w:rFonts w:hint="cs"/>
          <w:rtl/>
        </w:rPr>
        <w:t>ْ</w:t>
      </w:r>
      <w:r w:rsidRPr="0092648A">
        <w:rPr>
          <w:rStyle w:val="Char"/>
          <w:rtl/>
        </w:rPr>
        <w:t>ر</w:t>
      </w:r>
      <w:r w:rsidRPr="0092648A">
        <w:rPr>
          <w:rStyle w:val="Char"/>
          <w:rFonts w:hint="cs"/>
          <w:rtl/>
        </w:rPr>
        <w:t>َ</w:t>
      </w:r>
      <w:r w:rsidRPr="0092648A">
        <w:rPr>
          <w:rStyle w:val="Char"/>
          <w:rtl/>
        </w:rPr>
        <w:t>وي- قبل أن تنحرف أفكار هذا الأخير-، وقد كتب في مجلة همايون متحد</w:t>
      </w:r>
      <w:r w:rsidRPr="0092648A">
        <w:rPr>
          <w:rStyle w:val="Char"/>
          <w:rFonts w:hint="cs"/>
          <w:rtl/>
        </w:rPr>
        <w:t>ِّ</w:t>
      </w:r>
      <w:r w:rsidRPr="0092648A">
        <w:rPr>
          <w:rStyle w:val="Char"/>
          <w:rtl/>
        </w:rPr>
        <w:t>ث</w:t>
      </w:r>
      <w:r w:rsidRPr="0092648A">
        <w:rPr>
          <w:rStyle w:val="Char"/>
          <w:rFonts w:hint="cs"/>
          <w:rtl/>
        </w:rPr>
        <w:t>ً</w:t>
      </w:r>
      <w:r w:rsidRPr="0092648A">
        <w:rPr>
          <w:rStyle w:val="Char"/>
          <w:rtl/>
        </w:rPr>
        <w:t>ا عن تأسيس الحوزة العلمية في قم</w:t>
      </w:r>
      <w:r w:rsidRPr="0092648A">
        <w:rPr>
          <w:rStyle w:val="Char"/>
          <w:rFonts w:hint="cs"/>
          <w:rtl/>
        </w:rPr>
        <w:t>، يقول</w:t>
      </w:r>
      <w:r w:rsidRPr="0092648A">
        <w:rPr>
          <w:rStyle w:val="Char"/>
          <w:rtl/>
        </w:rPr>
        <w:t>: «لقد كانت إيران منذ زمن بعيد مهد العلم والمعرفة، ومحل ظهور رجال الدين والفلسفة</w:t>
      </w:r>
      <w:r w:rsidRPr="0092648A">
        <w:rPr>
          <w:rStyle w:val="Char"/>
          <w:rFonts w:hint="cs"/>
          <w:rtl/>
        </w:rPr>
        <w:t>،</w:t>
      </w:r>
      <w:r w:rsidRPr="0092648A">
        <w:rPr>
          <w:rStyle w:val="Char"/>
          <w:rtl/>
        </w:rPr>
        <w:t xml:space="preserve"> وكانت من الجهة الأخرى </w:t>
      </w:r>
      <w:r w:rsidRPr="0092648A">
        <w:rPr>
          <w:rStyle w:val="Char"/>
          <w:rFonts w:hint="cs"/>
          <w:rtl/>
        </w:rPr>
        <w:t>صاحبة</w:t>
      </w:r>
      <w:r w:rsidRPr="0092648A">
        <w:rPr>
          <w:rStyle w:val="Char"/>
          <w:rtl/>
        </w:rPr>
        <w:t xml:space="preserve"> مركز عالم التشيع، والبلد الوحيد في الدنيا الذي تتشكل كل مؤسساته الحكومية </w:t>
      </w:r>
      <w:r w:rsidRPr="0092648A">
        <w:rPr>
          <w:rStyle w:val="Char"/>
          <w:rtl/>
        </w:rPr>
        <w:lastRenderedPageBreak/>
        <w:t xml:space="preserve">والوطنية من </w:t>
      </w:r>
      <w:r w:rsidRPr="0092648A">
        <w:rPr>
          <w:rStyle w:val="Char"/>
          <w:rFonts w:hint="cs"/>
          <w:rtl/>
        </w:rPr>
        <w:t>أ</w:t>
      </w:r>
      <w:r w:rsidRPr="0092648A">
        <w:rPr>
          <w:rStyle w:val="Char"/>
          <w:rtl/>
        </w:rPr>
        <w:t xml:space="preserve">تباع هذا المذهب الكريم الذين يمارسون مبادئ مذهبهم </w:t>
      </w:r>
      <w:r w:rsidRPr="0092648A">
        <w:rPr>
          <w:rStyle w:val="Char"/>
          <w:rFonts w:hint="cs"/>
          <w:rtl/>
        </w:rPr>
        <w:t>مرفوعي الرأس و</w:t>
      </w:r>
      <w:r w:rsidRPr="0092648A">
        <w:rPr>
          <w:rStyle w:val="Char"/>
          <w:rtl/>
        </w:rPr>
        <w:t>بكل حرية</w:t>
      </w:r>
      <w:r w:rsidRPr="0092648A">
        <w:rPr>
          <w:rStyle w:val="Char"/>
          <w:rFonts w:hint="cs"/>
          <w:rtl/>
        </w:rPr>
        <w:t>،</w:t>
      </w:r>
      <w:r w:rsidRPr="0092648A">
        <w:rPr>
          <w:rStyle w:val="Char"/>
          <w:rtl/>
        </w:rPr>
        <w:t xml:space="preserve"> ويعيشون سالمين من أذى الأجانب وملامتهم، ومن الواضح أن هذه الوضعية ب</w:t>
      </w:r>
      <w:r w:rsidRPr="0092648A">
        <w:rPr>
          <w:rStyle w:val="Char"/>
          <w:rFonts w:hint="cs"/>
          <w:rtl/>
        </w:rPr>
        <w:t>ـ</w:t>
      </w:r>
      <w:r w:rsidRPr="0092648A">
        <w:rPr>
          <w:rStyle w:val="Char"/>
          <w:rtl/>
        </w:rPr>
        <w:t>حاجة إلى تأسيس مجمع روحي وجامعة علمية دينية شيعية تليق به، وتؤم</w:t>
      </w:r>
      <w:r w:rsidRPr="0092648A">
        <w:rPr>
          <w:rStyle w:val="Char"/>
          <w:rFonts w:hint="cs"/>
          <w:rtl/>
        </w:rPr>
        <w:t>ِّ</w:t>
      </w:r>
      <w:r w:rsidRPr="0092648A">
        <w:rPr>
          <w:rStyle w:val="Char"/>
          <w:rtl/>
        </w:rPr>
        <w:t>ن حاجاته الروحية وتقوم بواجباته الدينية، رغم أن هذا البلد لم تخل معظم مدنه من جماعات دينية صغيرة أو كبيرة، لكن لم يكن لأي</w:t>
      </w:r>
      <w:r w:rsidRPr="0092648A">
        <w:rPr>
          <w:rStyle w:val="Char"/>
          <w:rFonts w:hint="cs"/>
          <w:rtl/>
        </w:rPr>
        <w:t>ٍّ</w:t>
      </w:r>
      <w:r w:rsidRPr="0092648A">
        <w:rPr>
          <w:rStyle w:val="Char"/>
          <w:rtl/>
        </w:rPr>
        <w:t xml:space="preserve"> منها جانب عمومي، وكان هذا النقص يتم تلافيه دائم</w:t>
      </w:r>
      <w:r w:rsidRPr="0092648A">
        <w:rPr>
          <w:rStyle w:val="Char"/>
          <w:rFonts w:hint="cs"/>
          <w:rtl/>
        </w:rPr>
        <w:t>ً</w:t>
      </w:r>
      <w:r w:rsidRPr="0092648A">
        <w:rPr>
          <w:rStyle w:val="Char"/>
          <w:rtl/>
        </w:rPr>
        <w:t>ا عبر تحم</w:t>
      </w:r>
      <w:r w:rsidRPr="0092648A">
        <w:rPr>
          <w:rStyle w:val="Char"/>
          <w:rFonts w:hint="cs"/>
          <w:rtl/>
        </w:rPr>
        <w:t>ّ</w:t>
      </w:r>
      <w:r w:rsidRPr="0092648A">
        <w:rPr>
          <w:rStyle w:val="Char"/>
          <w:rtl/>
        </w:rPr>
        <w:t xml:space="preserve">ل عناء السفر إلى الخارج، إلى أن بعث الله تعالى المصلح الكبير حضرت آية الله السيد الحاج الشيخ عبد الكريم الحائري </w:t>
      </w:r>
      <w:r w:rsidRPr="00975940">
        <w:rPr>
          <w:rFonts w:cs="Times New Roman" w:hint="cs"/>
          <w:rtl/>
          <w:lang w:bidi="ar-SY"/>
        </w:rPr>
        <w:t>–</w:t>
      </w:r>
      <w:r w:rsidRPr="0092648A">
        <w:rPr>
          <w:rStyle w:val="Char"/>
          <w:rtl/>
        </w:rPr>
        <w:t xml:space="preserve"> </w:t>
      </w:r>
      <w:r w:rsidRPr="0092648A">
        <w:rPr>
          <w:rStyle w:val="Char"/>
          <w:rFonts w:hint="cs"/>
          <w:rtl/>
        </w:rPr>
        <w:t>مد</w:t>
      </w:r>
      <w:r w:rsidRPr="0092648A">
        <w:rPr>
          <w:rStyle w:val="Char"/>
          <w:rtl/>
        </w:rPr>
        <w:t xml:space="preserve"> </w:t>
      </w:r>
      <w:r w:rsidRPr="0092648A">
        <w:rPr>
          <w:rStyle w:val="Char"/>
          <w:rFonts w:hint="cs"/>
          <w:rtl/>
        </w:rPr>
        <w:t>ظله</w:t>
      </w:r>
      <w:r w:rsidRPr="0092648A">
        <w:rPr>
          <w:rStyle w:val="Char"/>
          <w:rtl/>
        </w:rPr>
        <w:t xml:space="preserve">- </w:t>
      </w:r>
      <w:r w:rsidRPr="0092648A">
        <w:rPr>
          <w:rStyle w:val="Char"/>
          <w:rFonts w:hint="cs"/>
          <w:rtl/>
        </w:rPr>
        <w:t>حيث</w:t>
      </w:r>
      <w:r w:rsidRPr="0092648A">
        <w:rPr>
          <w:rStyle w:val="Char"/>
          <w:rtl/>
        </w:rPr>
        <w:t xml:space="preserve"> </w:t>
      </w:r>
      <w:r w:rsidRPr="0092648A">
        <w:rPr>
          <w:rStyle w:val="Char"/>
          <w:rFonts w:hint="cs"/>
          <w:rtl/>
        </w:rPr>
        <w:t>انطلق</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عراق</w:t>
      </w:r>
      <w:r w:rsidRPr="0092648A">
        <w:rPr>
          <w:rStyle w:val="Char"/>
          <w:rtl/>
        </w:rPr>
        <w:t xml:space="preserve"> </w:t>
      </w:r>
      <w:r w:rsidRPr="0092648A">
        <w:rPr>
          <w:rStyle w:val="Char"/>
          <w:rFonts w:hint="cs"/>
          <w:rtl/>
        </w:rPr>
        <w:t>العرب</w:t>
      </w:r>
      <w:r w:rsidRPr="0092648A">
        <w:rPr>
          <w:rStyle w:val="Char"/>
          <w:rtl/>
        </w:rPr>
        <w:t xml:space="preserve"> </w:t>
      </w:r>
      <w:r w:rsidRPr="0092648A">
        <w:rPr>
          <w:rStyle w:val="Char"/>
          <w:rFonts w:hint="cs"/>
          <w:rtl/>
        </w:rPr>
        <w:t>نحو</w:t>
      </w:r>
      <w:r w:rsidRPr="0092648A">
        <w:rPr>
          <w:rStyle w:val="Char"/>
          <w:rtl/>
        </w:rPr>
        <w:t xml:space="preserve"> </w:t>
      </w:r>
      <w:r w:rsidRPr="0092648A">
        <w:rPr>
          <w:rStyle w:val="Char"/>
          <w:rFonts w:hint="cs"/>
          <w:rtl/>
        </w:rPr>
        <w:t>إيران</w:t>
      </w:r>
      <w:r w:rsidRPr="0092648A">
        <w:rPr>
          <w:rStyle w:val="Char"/>
          <w:rtl/>
        </w:rPr>
        <w:t xml:space="preserve"> </w:t>
      </w:r>
      <w:r w:rsidRPr="0092648A">
        <w:rPr>
          <w:rStyle w:val="Char"/>
          <w:rFonts w:hint="cs"/>
          <w:rtl/>
        </w:rPr>
        <w:t>وحط</w:t>
      </w:r>
      <w:r w:rsidRPr="0092648A">
        <w:rPr>
          <w:rStyle w:val="Char"/>
          <w:rtl/>
        </w:rPr>
        <w:t xml:space="preserve"> </w:t>
      </w:r>
      <w:r w:rsidRPr="0092648A">
        <w:rPr>
          <w:rStyle w:val="Char"/>
          <w:rFonts w:hint="cs"/>
          <w:rtl/>
        </w:rPr>
        <w:t>رحالة</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البدء</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مدينة</w:t>
      </w:r>
      <w:r w:rsidRPr="0092648A">
        <w:rPr>
          <w:rStyle w:val="Char"/>
          <w:rtl/>
        </w:rPr>
        <w:t xml:space="preserve"> </w:t>
      </w:r>
      <w:r w:rsidRPr="0092648A">
        <w:rPr>
          <w:rStyle w:val="Char"/>
          <w:rFonts w:hint="cs"/>
          <w:rtl/>
        </w:rPr>
        <w:t>أراك،</w:t>
      </w:r>
      <w:r w:rsidRPr="0092648A">
        <w:rPr>
          <w:rStyle w:val="Char"/>
          <w:rtl/>
        </w:rPr>
        <w:t xml:space="preserve"> </w:t>
      </w:r>
      <w:r w:rsidRPr="0092648A">
        <w:rPr>
          <w:rStyle w:val="Char"/>
          <w:rFonts w:hint="cs"/>
          <w:rtl/>
        </w:rPr>
        <w:t>وأدرك</w:t>
      </w:r>
      <w:r w:rsidRPr="0092648A">
        <w:rPr>
          <w:rStyle w:val="Char"/>
          <w:rtl/>
        </w:rPr>
        <w:t xml:space="preserve"> </w:t>
      </w:r>
      <w:r w:rsidRPr="0092648A">
        <w:rPr>
          <w:rStyle w:val="Char"/>
          <w:rFonts w:hint="cs"/>
          <w:rtl/>
        </w:rPr>
        <w:t>أهالي</w:t>
      </w:r>
      <w:r w:rsidRPr="0092648A">
        <w:rPr>
          <w:rStyle w:val="Char"/>
          <w:rtl/>
        </w:rPr>
        <w:t xml:space="preserve"> </w:t>
      </w:r>
      <w:r w:rsidRPr="0092648A">
        <w:rPr>
          <w:rStyle w:val="Char"/>
          <w:rFonts w:hint="cs"/>
          <w:rtl/>
        </w:rPr>
        <w:t>تلك</w:t>
      </w:r>
      <w:r w:rsidRPr="0092648A">
        <w:rPr>
          <w:rStyle w:val="Char"/>
          <w:rtl/>
        </w:rPr>
        <w:t xml:space="preserve"> </w:t>
      </w:r>
      <w:r w:rsidRPr="0092648A">
        <w:rPr>
          <w:rStyle w:val="Char"/>
          <w:rFonts w:hint="cs"/>
          <w:rtl/>
        </w:rPr>
        <w:t>المدينة</w:t>
      </w:r>
      <w:r w:rsidRPr="0092648A">
        <w:rPr>
          <w:rStyle w:val="Char"/>
          <w:rtl/>
        </w:rPr>
        <w:t xml:space="preserve"> </w:t>
      </w:r>
      <w:r w:rsidRPr="0092648A">
        <w:rPr>
          <w:rStyle w:val="Char"/>
          <w:rFonts w:hint="cs"/>
          <w:rtl/>
        </w:rPr>
        <w:t>أهليته</w:t>
      </w:r>
      <w:r w:rsidRPr="0092648A">
        <w:rPr>
          <w:rStyle w:val="Char"/>
          <w:rtl/>
        </w:rPr>
        <w:t xml:space="preserve"> </w:t>
      </w:r>
      <w:r w:rsidRPr="0092648A">
        <w:rPr>
          <w:rStyle w:val="Char"/>
          <w:rFonts w:hint="cs"/>
          <w:rtl/>
        </w:rPr>
        <w:t>للزعامة</w:t>
      </w:r>
      <w:r w:rsidRPr="0092648A">
        <w:rPr>
          <w:rStyle w:val="Char"/>
          <w:rtl/>
        </w:rPr>
        <w:t xml:space="preserve"> </w:t>
      </w:r>
      <w:r w:rsidRPr="0092648A">
        <w:rPr>
          <w:rStyle w:val="Char"/>
          <w:rFonts w:hint="cs"/>
          <w:rtl/>
        </w:rPr>
        <w:t>الروحية</w:t>
      </w:r>
      <w:r w:rsidRPr="0092648A">
        <w:rPr>
          <w:rStyle w:val="Char"/>
          <w:rtl/>
        </w:rPr>
        <w:t xml:space="preserve"> </w:t>
      </w:r>
      <w:r w:rsidRPr="0092648A">
        <w:rPr>
          <w:rStyle w:val="Char"/>
          <w:rFonts w:hint="cs"/>
          <w:rtl/>
        </w:rPr>
        <w:t>ووقفوا</w:t>
      </w:r>
      <w:r w:rsidRPr="0092648A">
        <w:rPr>
          <w:rStyle w:val="Char"/>
          <w:rtl/>
        </w:rPr>
        <w:t xml:space="preserve"> </w:t>
      </w:r>
      <w:r w:rsidRPr="0092648A">
        <w:rPr>
          <w:rStyle w:val="Char"/>
          <w:rFonts w:hint="cs"/>
          <w:rtl/>
        </w:rPr>
        <w:t>على</w:t>
      </w:r>
      <w:r w:rsidRPr="0092648A">
        <w:rPr>
          <w:rStyle w:val="Char"/>
          <w:rtl/>
        </w:rPr>
        <w:t xml:space="preserve"> </w:t>
      </w:r>
      <w:r w:rsidRPr="0092648A">
        <w:rPr>
          <w:rStyle w:val="Char"/>
          <w:rFonts w:hint="cs"/>
          <w:rtl/>
        </w:rPr>
        <w:t>ع</w:t>
      </w:r>
      <w:r w:rsidRPr="0092648A">
        <w:rPr>
          <w:rStyle w:val="Char"/>
          <w:rtl/>
        </w:rPr>
        <w:t>ز</w:t>
      </w:r>
      <w:r w:rsidRPr="0092648A">
        <w:rPr>
          <w:rStyle w:val="Char"/>
          <w:rFonts w:hint="cs"/>
          <w:rtl/>
        </w:rPr>
        <w:t>ي</w:t>
      </w:r>
      <w:r w:rsidRPr="0092648A">
        <w:rPr>
          <w:rStyle w:val="Char"/>
          <w:rtl/>
        </w:rPr>
        <w:t>م</w:t>
      </w:r>
      <w:r w:rsidRPr="0092648A">
        <w:rPr>
          <w:rStyle w:val="Char"/>
          <w:rFonts w:hint="cs"/>
          <w:rtl/>
        </w:rPr>
        <w:t>ته</w:t>
      </w:r>
      <w:r w:rsidRPr="0092648A">
        <w:rPr>
          <w:rStyle w:val="Char"/>
          <w:rtl/>
        </w:rPr>
        <w:t xml:space="preserve"> القوي</w:t>
      </w:r>
      <w:r w:rsidRPr="0092648A">
        <w:rPr>
          <w:rStyle w:val="Char"/>
          <w:rFonts w:hint="cs"/>
          <w:rtl/>
        </w:rPr>
        <w:t>ة</w:t>
      </w:r>
      <w:r w:rsidRPr="0092648A">
        <w:rPr>
          <w:rStyle w:val="Char"/>
          <w:rtl/>
        </w:rPr>
        <w:t xml:space="preserve"> وتبحره العلمي ودينه النقي وعقله الكامل وأخلاقه الحميدة، وغير ذلك من صفاته الحسنة وشمائله الكريمة وعلموا أنه الشخص الوحيد الذي يمتلك الأهلية والكفاءة للقيام بأعباء الرئاسة الدينية ومرجعية التقليد وإدارة مجمع الشيعة العلمي.... ولم تمضِ مدة إلا وانتشر خبر تأسيس هذه المؤسسة العلمية في كل حدب وصوب وجذب إليه العلماء من كل طرف، وهُرع إليه عدد </w:t>
      </w:r>
      <w:r w:rsidRPr="0092648A">
        <w:rPr>
          <w:rStyle w:val="Char"/>
          <w:rFonts w:hint="cs"/>
          <w:rtl/>
        </w:rPr>
        <w:t xml:space="preserve">من </w:t>
      </w:r>
      <w:r w:rsidRPr="0092648A">
        <w:rPr>
          <w:rStyle w:val="Char"/>
          <w:rtl/>
        </w:rPr>
        <w:t>الفضلاء في هذه البلاد وعملوا على توسيع ونشر هذا المركز العلمي على الدوا</w:t>
      </w:r>
      <w:r w:rsidRPr="0092648A">
        <w:rPr>
          <w:rStyle w:val="Char"/>
          <w:rFonts w:hint="cs"/>
          <w:rtl/>
        </w:rPr>
        <w:t>م</w:t>
      </w:r>
      <w:r w:rsidRPr="0092648A">
        <w:rPr>
          <w:rStyle w:val="Char"/>
          <w:rtl/>
        </w:rPr>
        <w:t xml:space="preserve"> واستطاعت هذه الجامعة العلمية أن تطوي مسيرة تكاملها في هذه البلاد في هذه المرحلة الزمنية، إلى أن تحرك حضرة آية الله الحائري قرب ربيع سنة 1340هـ.ق- بناء على طلب جماعة من أهالي قم- إلى مدينة قم</w:t>
      </w:r>
      <w:r w:rsidRPr="0092648A">
        <w:rPr>
          <w:rStyle w:val="Char"/>
          <w:rFonts w:hint="cs"/>
          <w:rtl/>
        </w:rPr>
        <w:t>،</w:t>
      </w:r>
      <w:r w:rsidRPr="0092648A">
        <w:rPr>
          <w:rStyle w:val="Char"/>
          <w:rtl/>
        </w:rPr>
        <w:t xml:space="preserve"> </w:t>
      </w:r>
      <w:r w:rsidRPr="0092648A">
        <w:rPr>
          <w:rStyle w:val="Char"/>
          <w:rFonts w:hint="cs"/>
          <w:rtl/>
        </w:rPr>
        <w:t xml:space="preserve">هذا </w:t>
      </w:r>
      <w:r w:rsidRPr="0092648A">
        <w:rPr>
          <w:rStyle w:val="Char"/>
          <w:rtl/>
        </w:rPr>
        <w:t>رغم كل ما بذله أهالي أراك ليحولوا دون تركه لمدينتهم (لأنهم كانوا يخشون أن يتحول هذا السفر المؤقت إلى سفر دائم ويحرموا من وجوده المقدس بينهم)</w:t>
      </w:r>
      <w:r w:rsidRPr="0092648A">
        <w:rPr>
          <w:rStyle w:val="Char"/>
          <w:rFonts w:hint="cs"/>
          <w:rtl/>
        </w:rPr>
        <w:t>.</w:t>
      </w:r>
      <w:r w:rsidRPr="0092648A">
        <w:rPr>
          <w:rStyle w:val="Char"/>
          <w:rtl/>
        </w:rPr>
        <w:t xml:space="preserve"> دخل آية الله في الثاني من شهر فروردين ثاني أيام النوروز مدينة قم وحظي باستقبال كامل واستثنائي لم يكن من الممكن تصور أفضل منه، ونزل في ضيافة حضرت حجت الإسلام السيد الشيخ مهدي القمي [پايين</w:t>
      </w:r>
      <w:r w:rsidRPr="0092648A">
        <w:rPr>
          <w:rStyle w:val="Char"/>
          <w:rFonts w:ascii="Times New Roman" w:hAnsi="Times New Roman" w:cs="Times New Roman" w:hint="cs"/>
          <w:rtl/>
        </w:rPr>
        <w:t>‌</w:t>
      </w:r>
      <w:r w:rsidRPr="0092648A">
        <w:rPr>
          <w:rStyle w:val="Char"/>
          <w:rtl/>
        </w:rPr>
        <w:t>شهري والد على أكبر ح</w:t>
      </w:r>
      <w:r w:rsidRPr="0092648A">
        <w:rPr>
          <w:rStyle w:val="Char"/>
          <w:rFonts w:hint="cs"/>
          <w:rtl/>
        </w:rPr>
        <w:t>َ</w:t>
      </w:r>
      <w:r w:rsidRPr="0092648A">
        <w:rPr>
          <w:rStyle w:val="Char"/>
          <w:rtl/>
        </w:rPr>
        <w:t>ك</w:t>
      </w:r>
      <w:r w:rsidRPr="0092648A">
        <w:rPr>
          <w:rStyle w:val="Char"/>
          <w:rFonts w:hint="cs"/>
          <w:rtl/>
        </w:rPr>
        <w:t>َ</w:t>
      </w:r>
      <w:r w:rsidRPr="0092648A">
        <w:rPr>
          <w:rStyle w:val="Char"/>
          <w:rtl/>
        </w:rPr>
        <w:t>مي زاده]، ولم يقص</w:t>
      </w:r>
      <w:r w:rsidRPr="0092648A">
        <w:rPr>
          <w:rStyle w:val="Char"/>
          <w:rFonts w:hint="cs"/>
          <w:rtl/>
        </w:rPr>
        <w:t>ِّ</w:t>
      </w:r>
      <w:r w:rsidRPr="0092648A">
        <w:rPr>
          <w:rStyle w:val="Char"/>
          <w:rtl/>
        </w:rPr>
        <w:t xml:space="preserve">ر الأخير في تقديم الضيافة اللائقة بآية الله، كانت العادة في ذلك الزمن </w:t>
      </w:r>
      <w:r w:rsidRPr="00975940">
        <w:rPr>
          <w:rFonts w:cs="Times New Roman" w:hint="cs"/>
          <w:rtl/>
          <w:lang w:bidi="ar-SY"/>
        </w:rPr>
        <w:t>–</w:t>
      </w:r>
      <w:r w:rsidRPr="0092648A">
        <w:rPr>
          <w:rStyle w:val="Char"/>
          <w:rtl/>
        </w:rPr>
        <w:t xml:space="preserve"> </w:t>
      </w:r>
      <w:r w:rsidRPr="0092648A">
        <w:rPr>
          <w:rStyle w:val="Char"/>
          <w:rFonts w:hint="cs"/>
          <w:rtl/>
        </w:rPr>
        <w:t>كما</w:t>
      </w:r>
      <w:r w:rsidRPr="0092648A">
        <w:rPr>
          <w:rStyle w:val="Char"/>
          <w:rtl/>
        </w:rPr>
        <w:t xml:space="preserve"> </w:t>
      </w:r>
      <w:r w:rsidRPr="0092648A">
        <w:rPr>
          <w:rStyle w:val="Char"/>
          <w:rFonts w:hint="cs"/>
          <w:rtl/>
        </w:rPr>
        <w:t>هي</w:t>
      </w:r>
      <w:r w:rsidRPr="0092648A">
        <w:rPr>
          <w:rStyle w:val="Char"/>
          <w:rtl/>
        </w:rPr>
        <w:t xml:space="preserve"> </w:t>
      </w:r>
      <w:r w:rsidRPr="0092648A">
        <w:rPr>
          <w:rStyle w:val="Char"/>
          <w:rFonts w:hint="cs"/>
          <w:rtl/>
        </w:rPr>
        <w:t>العادة</w:t>
      </w:r>
      <w:r w:rsidRPr="0092648A">
        <w:rPr>
          <w:rStyle w:val="Char"/>
          <w:rtl/>
        </w:rPr>
        <w:t xml:space="preserve"> </w:t>
      </w:r>
      <w:r w:rsidRPr="0092648A">
        <w:rPr>
          <w:rStyle w:val="Char"/>
          <w:rFonts w:hint="cs"/>
          <w:rtl/>
        </w:rPr>
        <w:t>اليوم</w:t>
      </w:r>
      <w:r w:rsidRPr="0092648A">
        <w:rPr>
          <w:rStyle w:val="Char"/>
          <w:rtl/>
        </w:rPr>
        <w:t xml:space="preserve">- </w:t>
      </w:r>
      <w:r w:rsidRPr="0092648A">
        <w:rPr>
          <w:rStyle w:val="Char"/>
          <w:rFonts w:hint="cs"/>
          <w:rtl/>
        </w:rPr>
        <w:t>أن</w:t>
      </w:r>
      <w:r w:rsidRPr="0092648A">
        <w:rPr>
          <w:rStyle w:val="Char"/>
          <w:rtl/>
        </w:rPr>
        <w:t xml:space="preserve"> </w:t>
      </w:r>
      <w:r w:rsidRPr="0092648A">
        <w:rPr>
          <w:rStyle w:val="Char"/>
          <w:rFonts w:hint="cs"/>
          <w:rtl/>
        </w:rPr>
        <w:t>يأتي</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أيام</w:t>
      </w:r>
      <w:r w:rsidRPr="0092648A">
        <w:rPr>
          <w:rStyle w:val="Char"/>
          <w:rtl/>
        </w:rPr>
        <w:t xml:space="preserve"> </w:t>
      </w:r>
      <w:r w:rsidRPr="0092648A">
        <w:rPr>
          <w:rStyle w:val="Char"/>
          <w:rFonts w:hint="cs"/>
          <w:rtl/>
        </w:rPr>
        <w:t>النيروز</w:t>
      </w:r>
      <w:r w:rsidRPr="0092648A">
        <w:rPr>
          <w:rStyle w:val="Char"/>
          <w:rtl/>
        </w:rPr>
        <w:t xml:space="preserve"> </w:t>
      </w:r>
      <w:r w:rsidRPr="0092648A">
        <w:rPr>
          <w:rStyle w:val="Char"/>
          <w:rFonts w:hint="cs"/>
          <w:rtl/>
        </w:rPr>
        <w:t>إلى</w:t>
      </w:r>
      <w:r w:rsidRPr="0092648A">
        <w:rPr>
          <w:rStyle w:val="Char"/>
          <w:rtl/>
        </w:rPr>
        <w:t xml:space="preserve"> </w:t>
      </w:r>
      <w:r w:rsidRPr="0092648A">
        <w:rPr>
          <w:rStyle w:val="Char"/>
          <w:rFonts w:hint="cs"/>
          <w:rtl/>
        </w:rPr>
        <w:t>قم</w:t>
      </w:r>
      <w:r w:rsidRPr="0092648A">
        <w:rPr>
          <w:rStyle w:val="Char"/>
          <w:rtl/>
        </w:rPr>
        <w:t xml:space="preserve"> </w:t>
      </w:r>
      <w:r w:rsidRPr="0092648A">
        <w:rPr>
          <w:rStyle w:val="Char"/>
          <w:rFonts w:hint="cs"/>
          <w:rtl/>
        </w:rPr>
        <w:t>عدد</w:t>
      </w:r>
      <w:r w:rsidRPr="0092648A">
        <w:rPr>
          <w:rStyle w:val="Char"/>
          <w:rtl/>
        </w:rPr>
        <w:t xml:space="preserve"> </w:t>
      </w:r>
      <w:r w:rsidRPr="0092648A">
        <w:rPr>
          <w:rStyle w:val="Char"/>
          <w:rFonts w:hint="cs"/>
          <w:rtl/>
        </w:rPr>
        <w:t>لا</w:t>
      </w:r>
      <w:r w:rsidRPr="0092648A">
        <w:rPr>
          <w:rStyle w:val="Char"/>
          <w:rtl/>
        </w:rPr>
        <w:t xml:space="preserve"> </w:t>
      </w:r>
      <w:r w:rsidRPr="0092648A">
        <w:rPr>
          <w:rStyle w:val="Char"/>
          <w:rFonts w:hint="cs"/>
          <w:rtl/>
        </w:rPr>
        <w:t>يحصى</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عامة</w:t>
      </w:r>
      <w:r w:rsidRPr="0092648A">
        <w:rPr>
          <w:rStyle w:val="Char"/>
          <w:rtl/>
        </w:rPr>
        <w:t xml:space="preserve"> </w:t>
      </w:r>
      <w:r w:rsidRPr="0092648A">
        <w:rPr>
          <w:rStyle w:val="Char"/>
          <w:rFonts w:hint="cs"/>
          <w:rtl/>
        </w:rPr>
        <w:t>طبقات</w:t>
      </w:r>
      <w:r w:rsidRPr="0092648A">
        <w:rPr>
          <w:rStyle w:val="Char"/>
          <w:rtl/>
        </w:rPr>
        <w:t xml:space="preserve"> </w:t>
      </w:r>
      <w:r w:rsidRPr="0092648A">
        <w:rPr>
          <w:rStyle w:val="Char"/>
          <w:rFonts w:hint="cs"/>
          <w:rtl/>
        </w:rPr>
        <w:t>الشعب</w:t>
      </w:r>
      <w:r w:rsidRPr="0092648A">
        <w:rPr>
          <w:rStyle w:val="Char"/>
          <w:rtl/>
        </w:rPr>
        <w:t xml:space="preserve"> </w:t>
      </w:r>
      <w:r w:rsidRPr="0092648A">
        <w:rPr>
          <w:rStyle w:val="Char"/>
          <w:rFonts w:hint="cs"/>
          <w:rtl/>
        </w:rPr>
        <w:t>الإيراني</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العلماء</w:t>
      </w:r>
      <w:r w:rsidRPr="0092648A">
        <w:rPr>
          <w:rStyle w:val="Char"/>
          <w:rtl/>
        </w:rPr>
        <w:t xml:space="preserve"> </w:t>
      </w:r>
      <w:r w:rsidRPr="0092648A">
        <w:rPr>
          <w:rStyle w:val="Char"/>
          <w:rFonts w:hint="cs"/>
          <w:rtl/>
        </w:rPr>
        <w:t>والأعيان</w:t>
      </w:r>
      <w:r w:rsidRPr="0092648A">
        <w:rPr>
          <w:rStyle w:val="Char"/>
          <w:rtl/>
        </w:rPr>
        <w:t xml:space="preserve"> </w:t>
      </w:r>
      <w:r w:rsidRPr="0092648A">
        <w:rPr>
          <w:rStyle w:val="Char"/>
          <w:rFonts w:hint="cs"/>
          <w:rtl/>
        </w:rPr>
        <w:t>والتجار</w:t>
      </w:r>
      <w:r w:rsidRPr="0092648A">
        <w:rPr>
          <w:rStyle w:val="Char"/>
          <w:rtl/>
        </w:rPr>
        <w:t xml:space="preserve"> </w:t>
      </w:r>
      <w:r w:rsidRPr="0092648A">
        <w:rPr>
          <w:rStyle w:val="Char"/>
          <w:rFonts w:hint="cs"/>
          <w:rtl/>
        </w:rPr>
        <w:t>وسائر</w:t>
      </w:r>
      <w:r w:rsidRPr="0092648A">
        <w:rPr>
          <w:rStyle w:val="Char"/>
          <w:rtl/>
        </w:rPr>
        <w:t xml:space="preserve"> </w:t>
      </w:r>
      <w:r w:rsidRPr="0092648A">
        <w:rPr>
          <w:rStyle w:val="Char"/>
          <w:rFonts w:hint="cs"/>
          <w:rtl/>
        </w:rPr>
        <w:t>شرائح</w:t>
      </w:r>
      <w:r w:rsidRPr="0092648A">
        <w:rPr>
          <w:rStyle w:val="Char"/>
          <w:rtl/>
        </w:rPr>
        <w:t xml:space="preserve"> </w:t>
      </w:r>
      <w:r w:rsidRPr="0092648A">
        <w:rPr>
          <w:rStyle w:val="Char"/>
          <w:rFonts w:hint="cs"/>
          <w:rtl/>
        </w:rPr>
        <w:t>المجتمع</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عدد</w:t>
      </w:r>
      <w:r w:rsidRPr="0092648A">
        <w:rPr>
          <w:rStyle w:val="Char"/>
          <w:rtl/>
        </w:rPr>
        <w:t xml:space="preserve"> </w:t>
      </w:r>
      <w:r w:rsidRPr="0092648A">
        <w:rPr>
          <w:rStyle w:val="Char"/>
          <w:rFonts w:hint="cs"/>
          <w:rtl/>
        </w:rPr>
        <w:t>كبير</w:t>
      </w:r>
      <w:r w:rsidRPr="0092648A">
        <w:rPr>
          <w:rStyle w:val="Char"/>
          <w:rtl/>
        </w:rPr>
        <w:t xml:space="preserve"> </w:t>
      </w:r>
      <w:r w:rsidRPr="0092648A">
        <w:rPr>
          <w:rStyle w:val="Char"/>
          <w:rFonts w:hint="cs"/>
          <w:rtl/>
        </w:rPr>
        <w:t>من</w:t>
      </w:r>
      <w:r w:rsidRPr="0092648A">
        <w:rPr>
          <w:rStyle w:val="Char"/>
          <w:rtl/>
        </w:rPr>
        <w:t xml:space="preserve"> </w:t>
      </w:r>
      <w:r w:rsidRPr="0092648A">
        <w:rPr>
          <w:rStyle w:val="Char"/>
          <w:rFonts w:hint="cs"/>
          <w:rtl/>
        </w:rPr>
        <w:t>المدن</w:t>
      </w:r>
      <w:r w:rsidRPr="0092648A">
        <w:rPr>
          <w:rStyle w:val="Char"/>
          <w:rtl/>
        </w:rPr>
        <w:t xml:space="preserve"> </w:t>
      </w:r>
      <w:r w:rsidRPr="0092648A">
        <w:rPr>
          <w:rStyle w:val="Char"/>
          <w:rFonts w:hint="cs"/>
          <w:rtl/>
        </w:rPr>
        <w:t>الإيرانية</w:t>
      </w:r>
      <w:r w:rsidRPr="0092648A">
        <w:rPr>
          <w:rStyle w:val="Char"/>
          <w:rtl/>
        </w:rPr>
        <w:t xml:space="preserve"> </w:t>
      </w:r>
      <w:r w:rsidRPr="0092648A">
        <w:rPr>
          <w:rStyle w:val="Char"/>
          <w:rFonts w:hint="cs"/>
          <w:rtl/>
        </w:rPr>
        <w:t>المختلفة،</w:t>
      </w:r>
      <w:r w:rsidRPr="0092648A">
        <w:rPr>
          <w:rStyle w:val="Char"/>
          <w:rtl/>
        </w:rPr>
        <w:t xml:space="preserve"> </w:t>
      </w:r>
      <w:r w:rsidRPr="0092648A">
        <w:rPr>
          <w:rStyle w:val="Char"/>
          <w:rFonts w:hint="cs"/>
          <w:rtl/>
        </w:rPr>
        <w:t>وفي</w:t>
      </w:r>
      <w:r w:rsidRPr="0092648A">
        <w:rPr>
          <w:rStyle w:val="Char"/>
          <w:rtl/>
        </w:rPr>
        <w:t xml:space="preserve"> </w:t>
      </w:r>
      <w:r w:rsidRPr="0092648A">
        <w:rPr>
          <w:rStyle w:val="Char"/>
          <w:rFonts w:hint="cs"/>
          <w:rtl/>
        </w:rPr>
        <w:t>ذلك</w:t>
      </w:r>
      <w:r w:rsidRPr="0092648A">
        <w:rPr>
          <w:rStyle w:val="Char"/>
          <w:rtl/>
        </w:rPr>
        <w:t xml:space="preserve"> </w:t>
      </w:r>
      <w:r w:rsidRPr="0092648A">
        <w:rPr>
          <w:rStyle w:val="Char"/>
          <w:rFonts w:hint="cs"/>
          <w:rtl/>
        </w:rPr>
        <w:t>الحين</w:t>
      </w:r>
      <w:r w:rsidRPr="0092648A">
        <w:rPr>
          <w:rStyle w:val="Char"/>
          <w:rtl/>
        </w:rPr>
        <w:t xml:space="preserve"> </w:t>
      </w:r>
      <w:r w:rsidRPr="0092648A">
        <w:rPr>
          <w:rStyle w:val="Char"/>
          <w:rFonts w:hint="cs"/>
          <w:rtl/>
        </w:rPr>
        <w:t>الذي</w:t>
      </w:r>
      <w:r w:rsidRPr="0092648A">
        <w:rPr>
          <w:rStyle w:val="Char"/>
          <w:rtl/>
        </w:rPr>
        <w:t xml:space="preserve"> </w:t>
      </w:r>
      <w:r w:rsidRPr="0092648A">
        <w:rPr>
          <w:rStyle w:val="Char"/>
          <w:rFonts w:hint="cs"/>
          <w:rtl/>
        </w:rPr>
        <w:t>صادف</w:t>
      </w:r>
      <w:r w:rsidRPr="0092648A">
        <w:rPr>
          <w:rStyle w:val="Char"/>
          <w:rtl/>
        </w:rPr>
        <w:t xml:space="preserve"> </w:t>
      </w:r>
      <w:r w:rsidRPr="0092648A">
        <w:rPr>
          <w:rStyle w:val="Char"/>
          <w:rFonts w:hint="cs"/>
          <w:rtl/>
        </w:rPr>
        <w:t>مجيىء</w:t>
      </w:r>
      <w:r w:rsidRPr="0092648A">
        <w:rPr>
          <w:rStyle w:val="Char"/>
          <w:rtl/>
        </w:rPr>
        <w:t xml:space="preserve"> </w:t>
      </w:r>
      <w:r w:rsidRPr="0092648A">
        <w:rPr>
          <w:rStyle w:val="Char"/>
          <w:rFonts w:hint="cs"/>
          <w:rtl/>
        </w:rPr>
        <w:t>حضرت</w:t>
      </w:r>
      <w:r w:rsidRPr="0092648A">
        <w:rPr>
          <w:rStyle w:val="Char"/>
          <w:rtl/>
        </w:rPr>
        <w:t xml:space="preserve"> </w:t>
      </w:r>
      <w:r w:rsidRPr="0092648A">
        <w:rPr>
          <w:rStyle w:val="Char"/>
          <w:rFonts w:hint="cs"/>
          <w:rtl/>
        </w:rPr>
        <w:t>آية</w:t>
      </w:r>
      <w:r w:rsidRPr="0092648A">
        <w:rPr>
          <w:rStyle w:val="Char"/>
          <w:rtl/>
        </w:rPr>
        <w:t xml:space="preserve"> </w:t>
      </w:r>
      <w:r w:rsidRPr="0092648A">
        <w:rPr>
          <w:rStyle w:val="Char"/>
          <w:rFonts w:hint="cs"/>
          <w:rtl/>
        </w:rPr>
        <w:t>الله</w:t>
      </w:r>
      <w:r w:rsidRPr="0092648A">
        <w:rPr>
          <w:rStyle w:val="Char"/>
          <w:rtl/>
        </w:rPr>
        <w:t>، لم ي</w:t>
      </w:r>
      <w:r w:rsidRPr="0092648A">
        <w:rPr>
          <w:rStyle w:val="Char"/>
          <w:rFonts w:hint="cs"/>
          <w:rtl/>
        </w:rPr>
        <w:t>ُ</w:t>
      </w:r>
      <w:r w:rsidRPr="0092648A">
        <w:rPr>
          <w:rStyle w:val="Char"/>
          <w:rtl/>
        </w:rPr>
        <w:t>ضي</w:t>
      </w:r>
      <w:r w:rsidRPr="0092648A">
        <w:rPr>
          <w:rStyle w:val="Char"/>
          <w:rFonts w:hint="cs"/>
          <w:rtl/>
        </w:rPr>
        <w:t>ِّ</w:t>
      </w:r>
      <w:r w:rsidRPr="0092648A">
        <w:rPr>
          <w:rStyle w:val="Char"/>
          <w:rtl/>
        </w:rPr>
        <w:t>ع القادمون الفرصة، وطلبوا مع أهالي قم من آية الله الإقامة في قم، وفي النتيجة وبعد المطالبات الكثيرة، وامتناعه عن التوقف في قم، بسبب ممانعة أهالي أراك، اختار في النهاية، بمساعدة القرآن المجيد «وأتوني بأهلكم أجمعين» أن يتوقف في قم وتعهد أهاليها أن ي</w:t>
      </w:r>
      <w:r w:rsidRPr="0092648A">
        <w:rPr>
          <w:rStyle w:val="Char"/>
          <w:rFonts w:hint="cs"/>
          <w:rtl/>
        </w:rPr>
        <w:t>ُ</w:t>
      </w:r>
      <w:r w:rsidRPr="0092648A">
        <w:rPr>
          <w:rStyle w:val="Char"/>
          <w:rtl/>
        </w:rPr>
        <w:t>ؤ</w:t>
      </w:r>
      <w:r w:rsidRPr="0092648A">
        <w:rPr>
          <w:rStyle w:val="Char"/>
          <w:rFonts w:hint="cs"/>
          <w:rtl/>
        </w:rPr>
        <w:t>َ</w:t>
      </w:r>
      <w:r w:rsidRPr="0092648A">
        <w:rPr>
          <w:rStyle w:val="Char"/>
          <w:rtl/>
        </w:rPr>
        <w:t>م</w:t>
      </w:r>
      <w:r w:rsidRPr="0092648A">
        <w:rPr>
          <w:rStyle w:val="Char"/>
          <w:rFonts w:hint="cs"/>
          <w:rtl/>
        </w:rPr>
        <w:t>ِّ</w:t>
      </w:r>
      <w:r w:rsidRPr="0092648A">
        <w:rPr>
          <w:rStyle w:val="Char"/>
          <w:rtl/>
        </w:rPr>
        <w:t>نوا نفقات نقل الطلاب من أراك إلى قم.</w:t>
      </w:r>
    </w:p>
    <w:p w:rsidR="00DA6CFB" w:rsidRPr="0092648A" w:rsidRDefault="00DA6CFB" w:rsidP="0092648A">
      <w:pPr>
        <w:widowControl w:val="0"/>
        <w:spacing w:line="216" w:lineRule="auto"/>
        <w:ind w:firstLine="284"/>
        <w:jc w:val="both"/>
        <w:rPr>
          <w:rStyle w:val="Char"/>
          <w:rtl/>
        </w:rPr>
      </w:pPr>
      <w:r w:rsidRPr="0092648A">
        <w:rPr>
          <w:rStyle w:val="Char"/>
          <w:rtl/>
        </w:rPr>
        <w:lastRenderedPageBreak/>
        <w:t>وهكذا انتقلت الحوزة العلمية من أراك إلى قم، وأدى هذا الانتقال لعلماء الدين في إيران، إلى ثورة جديدة وانتشر بشكل استثنائي في المركز والولايات وخلال فترة زمنية قصيرة جاء جماعة كثيرون من سائر نقاط إيران إلى قم، وبدأ عدد سكان المدينة يزداد يوم</w:t>
      </w:r>
      <w:r w:rsidRPr="0092648A">
        <w:rPr>
          <w:rStyle w:val="Char"/>
          <w:rFonts w:hint="cs"/>
          <w:rtl/>
        </w:rPr>
        <w:t>ً</w:t>
      </w:r>
      <w:r w:rsidRPr="0092648A">
        <w:rPr>
          <w:rStyle w:val="Char"/>
          <w:rtl/>
        </w:rPr>
        <w:t xml:space="preserve">ا بعد يوم، </w:t>
      </w:r>
      <w:r w:rsidRPr="0092648A">
        <w:rPr>
          <w:rStyle w:val="Char"/>
          <w:rFonts w:hint="cs"/>
          <w:rtl/>
        </w:rPr>
        <w:t>و</w:t>
      </w:r>
      <w:r w:rsidRPr="0092648A">
        <w:rPr>
          <w:rStyle w:val="Char"/>
          <w:rtl/>
        </w:rPr>
        <w:t>في هذه الفترة وقعت بعض القضايا والحوادث بسبب مكانة حوزة قم وأهميتها نعرض عن شرحها الآن، وبعد مضي عدة سنوات أكمل عدد من الفضلاء دروسهم ورجعوا إلى مدنهم وأسسوا في مدنهم، مثل همدان وكاشان وأراك وأماكن أخرى</w:t>
      </w:r>
      <w:r w:rsidRPr="0092648A">
        <w:rPr>
          <w:rStyle w:val="Char"/>
          <w:rFonts w:hint="cs"/>
          <w:rtl/>
        </w:rPr>
        <w:t>،</w:t>
      </w:r>
      <w:r w:rsidRPr="0092648A">
        <w:rPr>
          <w:rStyle w:val="Char"/>
          <w:rtl/>
        </w:rPr>
        <w:t xml:space="preserve"> فروع</w:t>
      </w:r>
      <w:r w:rsidRPr="0092648A">
        <w:rPr>
          <w:rStyle w:val="Char"/>
          <w:rFonts w:hint="cs"/>
          <w:rtl/>
        </w:rPr>
        <w:t>ً</w:t>
      </w:r>
      <w:r w:rsidRPr="0092648A">
        <w:rPr>
          <w:rStyle w:val="Char"/>
          <w:rtl/>
        </w:rPr>
        <w:t xml:space="preserve">ا للحوزة المركزية، وكذلك جاء إلى قم طلاب من سائر البقاع </w:t>
      </w:r>
      <w:r w:rsidRPr="0092648A">
        <w:rPr>
          <w:rStyle w:val="Char"/>
          <w:rFonts w:hint="cs"/>
          <w:rtl/>
        </w:rPr>
        <w:t xml:space="preserve">والبلدان الإسلامية في العالم، وأصبحت </w:t>
      </w:r>
      <w:r w:rsidRPr="0092648A">
        <w:rPr>
          <w:rStyle w:val="Char"/>
          <w:rtl/>
        </w:rPr>
        <w:t>قم مجمع</w:t>
      </w:r>
      <w:r w:rsidRPr="0092648A">
        <w:rPr>
          <w:rStyle w:val="Char"/>
          <w:rFonts w:hint="cs"/>
          <w:rtl/>
        </w:rPr>
        <w:t>ًا</w:t>
      </w:r>
      <w:r w:rsidRPr="0092648A">
        <w:rPr>
          <w:rStyle w:val="Char"/>
          <w:rtl/>
        </w:rPr>
        <w:t xml:space="preserve"> علمي</w:t>
      </w:r>
      <w:r w:rsidRPr="0092648A">
        <w:rPr>
          <w:rStyle w:val="Char"/>
          <w:rFonts w:hint="cs"/>
          <w:rtl/>
        </w:rPr>
        <w:t>ًّا</w:t>
      </w:r>
      <w:r w:rsidRPr="0092648A">
        <w:rPr>
          <w:rStyle w:val="Char"/>
          <w:rtl/>
        </w:rPr>
        <w:t xml:space="preserve"> شيعي</w:t>
      </w:r>
      <w:r w:rsidRPr="0092648A">
        <w:rPr>
          <w:rStyle w:val="Char"/>
          <w:rFonts w:hint="cs"/>
          <w:rtl/>
        </w:rPr>
        <w:t>ًّا</w:t>
      </w:r>
      <w:r w:rsidRPr="0092648A">
        <w:rPr>
          <w:rStyle w:val="Char"/>
          <w:rtl/>
        </w:rPr>
        <w:t xml:space="preserve"> في جميع أنحاء العالم الإسلامي، ونحن نأمل أيض</w:t>
      </w:r>
      <w:r w:rsidRPr="0092648A">
        <w:rPr>
          <w:rStyle w:val="Char"/>
          <w:rFonts w:hint="cs"/>
          <w:rtl/>
        </w:rPr>
        <w:t>ً</w:t>
      </w:r>
      <w:r w:rsidRPr="0092648A">
        <w:rPr>
          <w:rStyle w:val="Char"/>
          <w:rtl/>
        </w:rPr>
        <w:t>ا أن تنضم إلى هذه الجامعة الدينية مؤسسة تبليغيه لأجل نشر حقائق الدين في نواحي البلاد وبلدان العالم الأخرى، كي تستفيد معظم تلك البلدان من هذا المركز العلمي»</w:t>
      </w:r>
      <w:r w:rsidRPr="0092648A">
        <w:rPr>
          <w:rStyle w:val="Char"/>
          <w:rFonts w:hint="cs"/>
          <w:rtl/>
        </w:rPr>
        <w:t>.</w:t>
      </w:r>
      <w:r w:rsidRPr="006E28E9">
        <w:rPr>
          <w:rStyle w:val="Char"/>
          <w:rFonts w:ascii="Arabic11 BT" w:hAnsi="Arabic11 BT" w:cs="Arabic11 BT"/>
          <w:vertAlign w:val="superscript"/>
          <w:rtl/>
        </w:rPr>
        <w:footnoteReference w:id="35"/>
      </w:r>
      <w:r w:rsidRPr="0092648A">
        <w:rPr>
          <w:rStyle w:val="Char"/>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نهاية تقريره يذكر هذا الكاتب أسماء المدارس المهمة في ذلك الوقت وعدد حجراتها وعدد الطلاب الموجودين فيها ويذكر وجود مئة شيخ لا يسكنون في المدارس، ويذكر أن مجموع عدد طلاب المدارس الدينية والمدرسين فيها في قم سنة 1313 هـ.ش/1934م -أي قبل تشدد رضا خان ووضعه القيود على التزيي بلباس رجال الدين - كان سبعمئة شخص.</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تواصل اتساع حوزة قم في آخر عهد حكم رضا خان بشكل بطيء، لكنه لم يتوقف، وأصبحت هذه الحوزة فيما بعد الرافعة الأساسية لنمو الأفكار الدينية في إيران.</w:t>
      </w:r>
    </w:p>
    <w:p w:rsidR="00DA6CFB" w:rsidRPr="0092648A" w:rsidRDefault="00DA6CFB" w:rsidP="006E28E9">
      <w:pPr>
        <w:widowControl w:val="0"/>
        <w:spacing w:line="216" w:lineRule="auto"/>
        <w:ind w:firstLine="284"/>
        <w:jc w:val="both"/>
        <w:rPr>
          <w:rStyle w:val="Char"/>
          <w:rtl/>
        </w:rPr>
      </w:pPr>
      <w:r w:rsidRPr="0092648A">
        <w:rPr>
          <w:rStyle w:val="Char"/>
          <w:rFonts w:hint="cs"/>
          <w:rtl/>
        </w:rPr>
        <w:t xml:space="preserve">في هذه الفترة الزمنية كانت المرجعية العليا للشيعة لا تزال مستقرة بالنجف وبقي الأمر كذلك حتى سنة 1325 هـ.ش/1946م. كانت هذه المرجعية متمثلة بالمرحوم آية الله السيد أبو الحسن الأصفهاني (ولد في التاسع من ذي الحجة عام 1365 هـ.ق/ 13 آبان 1325 هـ.ش= 4/11/1946م). خلال هذه المرحلة وعلى الرغم من أن معظم شيعة إيران كانوا مقلدين له، إلا أن الجو الخانق الذي فرضه نظام رضا خان لم يكن يسمح للسيد أبي الحسن ووكلائه في إيران بممارسة </w:t>
      </w:r>
      <w:r w:rsidRPr="0092648A">
        <w:rPr>
          <w:rStyle w:val="Char"/>
          <w:rFonts w:hint="cs"/>
          <w:rtl/>
        </w:rPr>
        <w:lastRenderedPageBreak/>
        <w:t>نشاطهم بشكل مباشر في إيران.</w:t>
      </w:r>
      <w:r w:rsidRPr="006E28E9">
        <w:rPr>
          <w:rStyle w:val="Char"/>
          <w:rFonts w:ascii="Arabic11 BT" w:hAnsi="Arabic11 BT" w:cs="Arabic11 BT"/>
          <w:vertAlign w:val="superscript"/>
          <w:rtl/>
        </w:rPr>
        <w:footnoteReference w:id="36"/>
      </w:r>
      <w:r w:rsidRPr="0092648A">
        <w:rPr>
          <w:rStyle w:val="Char"/>
          <w:rFonts w:hint="cs"/>
          <w:rtl/>
        </w:rPr>
        <w:t xml:space="preserve"> ورغم ذلك كان السيد أبو الحسن أول مرجع أجاز الاستفادة من سهم الإمام لأجل طبع مجلة دينية باسم الإسلام</w:t>
      </w:r>
      <w:r w:rsidRPr="006E28E9">
        <w:rPr>
          <w:rStyle w:val="Char"/>
          <w:rFonts w:ascii="Arabic11 BT" w:hAnsi="Arabic11 BT" w:cs="Arabic11 BT"/>
          <w:vertAlign w:val="superscript"/>
          <w:rtl/>
        </w:rPr>
        <w:footnoteReference w:id="37"/>
      </w:r>
      <w:r w:rsidRPr="0092648A">
        <w:rPr>
          <w:rStyle w:val="Char"/>
          <w:rFonts w:hint="cs"/>
          <w:rtl/>
        </w:rPr>
        <w:t>. وهناك رسالة وجهها السيد أبو الحسن الأصفهاني إلى السيد أبي الحسن الطالقاني أعلن فيها بصراحة تأييده لإنشاء مؤسسة دينية تقوم بالدفاع عن الدين. وعلى إثر هذه الرسالة ابتدأ المرحوم السيد أبو الحسن الطالقاني، في زمن رضا خان ذاته، بممارسة نشاطاته الدينية- الدعوية، في البداية في مدرسة مروي، حيث واجه موانع وعوائق حالت دون مواصلته ذلك النشاط. ثم ابتدأ بعقد اجتماعات في منزله ثم في منزل عباس قلي بازركان،</w:t>
      </w:r>
      <w:r w:rsidRPr="006E28E9">
        <w:rPr>
          <w:rStyle w:val="Char"/>
          <w:rFonts w:ascii="Arabic11 BT" w:hAnsi="Arabic11 BT" w:cs="Arabic11 BT"/>
          <w:vertAlign w:val="superscript"/>
          <w:rtl/>
        </w:rPr>
        <w:footnoteReference w:id="38"/>
      </w:r>
      <w:r w:rsidRPr="0092648A">
        <w:rPr>
          <w:rStyle w:val="Char"/>
          <w:rFonts w:hint="cs"/>
          <w:rtl/>
        </w:rPr>
        <w:t xml:space="preserve"> ولكنه لم يتمكن - بالطبع - من مواصلة هذه الاجتماعات، وَمِنْ ثَمَّ لم تحقق الاجتماعات هدفها.</w:t>
      </w:r>
      <w:r w:rsidRPr="006E28E9">
        <w:rPr>
          <w:rStyle w:val="Char"/>
          <w:rFonts w:ascii="Arabic11 BT" w:hAnsi="Arabic11 BT" w:cs="Arabic11 BT"/>
          <w:vertAlign w:val="superscript"/>
          <w:rtl/>
        </w:rPr>
        <w:footnoteReference w:id="39"/>
      </w:r>
      <w:r w:rsidRPr="0092648A">
        <w:rPr>
          <w:rStyle w:val="Char"/>
          <w:rFonts w:hint="cs"/>
          <w:rtl/>
        </w:rPr>
        <w:t xml:space="preserve"> </w:t>
      </w:r>
      <w:r w:rsidRPr="0092648A">
        <w:rPr>
          <w:rStyle w:val="Char"/>
          <w:rFonts w:hint="cs"/>
          <w:rtl/>
        </w:rPr>
        <w:lastRenderedPageBreak/>
        <w:t>أشار السيد محمود الطالقاني إلى هذه الجلسات وأنها كانت تتم بالتنسيق بين العلماء والدولة وأن الدولة سمحت بنشر مجلة باسم «بلاغ» - وقد أمر تيمورتاش فيما بعد بتوقيف المجلة فلم تحقق ما كانت تهدف إليه -، وقدّم نصّ رسالة آية الله أبي الحسن الأصفهاني مع تعليقات عليها إلى مجلة «آيين اسلام» [شريعة الإسلام]. وافق ذلك الزمن (1325 هـ.ش/1946م) زمن وفاة آية الله السيد أبي الحسن الأصفهاني، وقد حاول السيد الطالقاني أن يوفِّر الأرضية المناسبة لتمكن المرجعية من القيام بمهامها وتحمل مسؤوليتها في مواجهة الظروف الصعبة في ذلك الزمن. تشير رسالة آية الله الأصفهاني إلى جديته في هذا المجال ووعيه بالظروف المحيطة، فقد كتب يقول: «لقد سُررت سرورًا بالغًا عندما علمت أنكم تسعَون إلى تأسيس مركز في مدرسة مروي يضم جماعة من الفضلاء والصالحين بهدف إزالة شبهات المعاندين للدين والمحافظة على عقائد ضعفاء المسلمين، ولا شك أن هذا سيكون سببًا لمسرة حضرة ولي العصر - أرواحنا له الفداء - ... لكن هذا الموضوع العظيم يحتاج إلى استعداد كامل وإلى مجموعة من الأشخاص الفضلاء والمتتبعين ذوي الذوق السليم وإلى كتب عديدة ومجلات محلية وأجنبية بلغات مختلفة وإلى مترجمين ذوي عقيدة صحيحة، لأنه لو كان العاملون فيه غير كاملي الاستعداد وغير مهيئين التهيئة اللازمة لأدى ذلك إلى استخفافهم بهذا الأمر الخطير وعدم استطاعتهم القيام بأعبائه كما هو حقه، عندئذ سوف يستأسد المعاندون ...... لذلك سأقوم أنا العبد الفقير حسب واجبي الديني بالمساعدة في هذا الموضوع قدر المستطاع، فكل أمر يتعلق بتأييد هذا الأمر ويمكن لهذا العبد الفقير أن يقوم به فلا تترددوا ببيانه لي ولو أُتيحَت الفرصة والمجال لربما بيَّنْتُ منهجًا أساسيًّا كليًّا لأجل الدخول في هذا الموضوع يكون موضع قبول وتقدير مِنْ قِبَلِ الذوات المقدسة.... الأحقر أبو الحسن الموسوي الأصفهاني».</w:t>
      </w:r>
      <w:r w:rsidRPr="006E28E9">
        <w:rPr>
          <w:rStyle w:val="Char"/>
          <w:rFonts w:ascii="Arabic11 BT" w:hAnsi="Arabic11 BT" w:cs="Arabic11 BT"/>
          <w:vertAlign w:val="superscript"/>
          <w:rtl/>
        </w:rPr>
        <w:footnoteReference w:id="40"/>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بعد شهر شهريور من سنة 1320 هـ.ش/1941م وحتى سنة 1324 هـ.ش/1945م كانت </w:t>
      </w:r>
      <w:r w:rsidRPr="0092648A">
        <w:rPr>
          <w:rStyle w:val="Char"/>
          <w:rFonts w:hint="cs"/>
          <w:rtl/>
        </w:rPr>
        <w:lastRenderedPageBreak/>
        <w:t>ظروف إيران بسبب مسائل الحرب، مغلقة، وكان الارتباط مع العراق والصلة به صعبة إلى حد ما. في هذه الفترة الزمنية بدأ الذين كانت لهم تجارب سابقة ببحث إصلاح وضع مؤسسة علماء الدين لاسيما تمركز النشاطات الدعوية لرجال الدين في مؤسسة ذات نظام خاص محدد. وقد كُتِبَت حول هذا الموضوع عديد من الكتب وطُرِحَت برامج وأهداف يمكننا أن نلاحظ جانبًا منها في مجلة «آيين اسلام» [شريعة الإسلام].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كانت بعض التنظيمات مثل «هيئة منتظم روحاني» [أي هيئة علماء الدين المنتظمة] التي أنشأها محمد باقر كمرئي من التنظيمات التي نشأت في هذا الإطار وبهذا الهدف، لكنها لم يُوافِها النجاح. رغم أن كمرئي كان في طهران إلا أنه جاء فترة من الزمن إلى قم كي يفعِّل هذا التنظيم. وقد ذكر آية الله صافي گلپايگاني لراقم هذه السطور ذكرياته عن تلك الجهود.</w:t>
      </w:r>
    </w:p>
    <w:p w:rsidR="00DA6CFB" w:rsidRPr="0092648A" w:rsidRDefault="00DA6CFB" w:rsidP="0092648A">
      <w:pPr>
        <w:widowControl w:val="0"/>
        <w:spacing w:line="216" w:lineRule="auto"/>
        <w:ind w:firstLine="284"/>
        <w:jc w:val="both"/>
        <w:rPr>
          <w:rStyle w:val="Char"/>
          <w:rtl/>
        </w:rPr>
      </w:pPr>
      <w:r w:rsidRPr="0092648A">
        <w:rPr>
          <w:rStyle w:val="Char"/>
          <w:rFonts w:hint="cs"/>
          <w:rtl/>
        </w:rPr>
        <w:t>ينبغي أن نقول إنه منذ عام 1324 هـ.ش/1945م فما بعد كانت الصلة بين إيران ومرجعية الشيعة العليا في العراق تتقوى وتشتد يومًا بعد يوم، ولكن بسبب كبر سن المرحوم السيد أبو الحسن الأصفهاني لم تكن هناك إمكانية للقيام بحركة جدية ومؤثرة في هذا الاتجاه. ورغم ذلك لم يجلس السيد الأصفهاني ولا غيره مكتوفي الأيدي. كان سعيهم الجدي لإدخال الدروس الدينية في برامج المدارس الحكومية حركةً سوف نشير إليها فيما بعد. إلا أن النقطة الأخرى التي تتمتع بأهمية دينية - سياسية عالية جدًّا، هي البيان الذي أصدره السيد أبو الحسن الأصفهاني والذي بيّن فيه ضرورة تعيين «ناظر شرعيات» [أي مراقب ديني للأمور الشرعية] في جميع المحافظات.</w:t>
      </w:r>
      <w:r w:rsidRPr="006E28E9">
        <w:rPr>
          <w:rStyle w:val="Char"/>
          <w:rFonts w:ascii="Arabic11 BT" w:hAnsi="Arabic11 BT" w:cs="Arabic11 BT"/>
          <w:vertAlign w:val="superscript"/>
          <w:rtl/>
        </w:rPr>
        <w:footnoteReference w:id="41"/>
      </w:r>
    </w:p>
    <w:p w:rsidR="00DA6CFB" w:rsidRPr="006E28E9" w:rsidRDefault="00DA6CFB" w:rsidP="0092648A">
      <w:pPr>
        <w:widowControl w:val="0"/>
        <w:spacing w:line="216" w:lineRule="auto"/>
        <w:ind w:firstLine="284"/>
        <w:jc w:val="both"/>
        <w:rPr>
          <w:rStyle w:val="Char"/>
          <w:spacing w:val="-4"/>
          <w:rtl/>
        </w:rPr>
      </w:pPr>
      <w:r w:rsidRPr="006E28E9">
        <w:rPr>
          <w:rStyle w:val="Char"/>
          <w:rFonts w:hint="cs"/>
          <w:spacing w:val="-4"/>
          <w:rtl/>
        </w:rPr>
        <w:t xml:space="preserve">فيما يلي نذكر جزءًا من رسالته التي كتبها سنة 1324 هـ.ش/1945م إلى آية الله السيد محمد البهبهاني والتي كانت في الواقع رسالته إلى رئيس الوزراء ووزير الثقافة، قال: «من الموضوعات الأخرى موضوع «ناظر شرعيات»، فطبقًا للقانون لابد أن يكون هناك في كل ولاية ومدينة ناظر للشرعيات معترف به رسميًّا وهو حق قانوني مسلَّم به أُهْمِل العمل به بسبب عدم اهتمام الحكومات به، والحقيقة أننا لا نتعجب من الشعب، الذي أصبح أولياء أموره غيرَ مهتمّين بقوانين البلاد ومتهاونين في العمل بها، إذا تجاوز </w:t>
      </w:r>
      <w:r w:rsidRPr="006E28E9">
        <w:rPr>
          <w:rStyle w:val="Char"/>
          <w:rFonts w:hint="cs"/>
          <w:spacing w:val="-4"/>
          <w:rtl/>
        </w:rPr>
        <w:lastRenderedPageBreak/>
        <w:t>أفراده القوانين [فكما يُقال إذا كان رب البيت في الطبل ضاربًا فما على أهل البيت إلا الرقص!]</w:t>
      </w:r>
      <w:r w:rsidRPr="006E28E9">
        <w:rPr>
          <w:rStyle w:val="Char"/>
          <w:rFonts w:ascii="Arabic11 BT" w:hAnsi="Arabic11 BT" w:cs="Arabic11 BT"/>
          <w:spacing w:val="-4"/>
          <w:vertAlign w:val="superscript"/>
          <w:rtl/>
        </w:rPr>
        <w:footnoteReference w:id="42"/>
      </w:r>
      <w:r w:rsidRPr="006E28E9">
        <w:rPr>
          <w:rStyle w:val="Char"/>
          <w:rFonts w:hint="cs"/>
          <w:spacing w:val="-4"/>
          <w:rtl/>
        </w:rPr>
        <w:t xml:space="preserve"> وفي النهاية فإن إهمال الدولة أدى إلى كل هذه المصائب التي وقعنا بها».</w:t>
      </w:r>
      <w:r w:rsidRPr="006E28E9">
        <w:rPr>
          <w:rStyle w:val="Char"/>
          <w:rFonts w:ascii="Arabic11 BT" w:hAnsi="Arabic11 BT" w:cs="Arabic11 BT"/>
          <w:spacing w:val="-4"/>
          <w:vertAlign w:val="superscript"/>
          <w:rtl/>
        </w:rPr>
        <w:footnoteReference w:id="43"/>
      </w:r>
    </w:p>
    <w:p w:rsidR="00DA6CFB" w:rsidRPr="0092648A" w:rsidRDefault="00DA6CFB" w:rsidP="0092648A">
      <w:pPr>
        <w:widowControl w:val="0"/>
        <w:spacing w:line="216" w:lineRule="auto"/>
        <w:ind w:firstLine="284"/>
        <w:jc w:val="both"/>
        <w:rPr>
          <w:rStyle w:val="Char"/>
          <w:rtl/>
        </w:rPr>
      </w:pPr>
      <w:r w:rsidRPr="0092648A">
        <w:rPr>
          <w:rStyle w:val="Char"/>
          <w:rFonts w:hint="cs"/>
          <w:rtl/>
        </w:rPr>
        <w:t>لم يأت النص على موضوع «ناظر شرعيات» في دستور الملكية الدستورية، لكنه كان قانونًا تمت المصادقة عليه في وزارة الثقافة. وكانت وظيفة «ناظر شرعيات» مراقبة جميع المطبوعات بشكل عام في البلاد.</w:t>
      </w:r>
      <w:r w:rsidRPr="006E28E9">
        <w:rPr>
          <w:rStyle w:val="Char"/>
          <w:rFonts w:ascii="Arabic11 BT" w:hAnsi="Arabic11 BT" w:cs="Arabic11 BT"/>
          <w:vertAlign w:val="superscript"/>
          <w:rtl/>
        </w:rPr>
        <w:footnoteReference w:id="44"/>
      </w:r>
    </w:p>
    <w:p w:rsidR="00DA6CFB" w:rsidRPr="0092648A" w:rsidRDefault="00DA6CFB" w:rsidP="0092648A">
      <w:pPr>
        <w:widowControl w:val="0"/>
        <w:spacing w:line="216" w:lineRule="auto"/>
        <w:ind w:firstLine="284"/>
        <w:jc w:val="both"/>
        <w:rPr>
          <w:rStyle w:val="Char"/>
          <w:rtl/>
        </w:rPr>
      </w:pPr>
      <w:r w:rsidRPr="0092648A">
        <w:rPr>
          <w:rStyle w:val="Char"/>
          <w:rFonts w:hint="cs"/>
          <w:rtl/>
        </w:rPr>
        <w:t>وعلى كل حال، تم التنسيق في هذه الخطوة بين السيد أبي الحسن الأصفهاني وآية الله الحاج آقا حسين القمي</w:t>
      </w:r>
      <w:r w:rsidRPr="006E28E9">
        <w:rPr>
          <w:rStyle w:val="Char"/>
          <w:rFonts w:ascii="Arabic11 BT" w:hAnsi="Arabic11 BT" w:cs="Arabic11 BT"/>
          <w:vertAlign w:val="superscript"/>
          <w:rtl/>
        </w:rPr>
        <w:footnoteReference w:id="45"/>
      </w:r>
      <w:r w:rsidRPr="0092648A">
        <w:rPr>
          <w:rStyle w:val="Char"/>
          <w:rFonts w:hint="cs"/>
          <w:rtl/>
        </w:rPr>
        <w:t xml:space="preserve"> الذي أصبح مرجعًا بعد آية الله الأصفهاني لمدة ثلاثة أشهر خلال الفترة التي كان لا </w:t>
      </w:r>
      <w:r w:rsidRPr="0092648A">
        <w:rPr>
          <w:rStyle w:val="Char"/>
          <w:rFonts w:hint="cs"/>
          <w:rtl/>
        </w:rPr>
        <w:lastRenderedPageBreak/>
        <w:t>يزال القُمِّي فيها على قيد الحياة.</w:t>
      </w:r>
      <w:r w:rsidRPr="006E28E9">
        <w:rPr>
          <w:rStyle w:val="Char"/>
          <w:rFonts w:ascii="Arabic11 BT" w:hAnsi="Arabic11 BT" w:cs="Arabic11 BT"/>
          <w:vertAlign w:val="superscript"/>
          <w:rtl/>
        </w:rPr>
        <w:footnoteReference w:id="46"/>
      </w:r>
      <w:r w:rsidRPr="0092648A">
        <w:rPr>
          <w:rStyle w:val="Char"/>
          <w:rFonts w:hint="cs"/>
          <w:rtl/>
        </w:rPr>
        <w:t xml:space="preserve"> أضف إلى ذلك أن السيد القمي وجَّه رسالةً إلى آية الله البهبهاني كتب فيها - في معرض إشارته إلى موضوع التعليم الديني في المدارس - يقول: «ومن الموضوعات الأخرى موضوع المراقب الشرعي «ناظر شرعيات» الذي هو أمر ضروري ويجب - طبقًا للدستور - أن يوجد في كل مدينة من المدن وينال اعترافًا رسميًّا، ولكن للأسف لم تقم الدولة حتى الآن بتعيين أي مراقب شرعي للمطبوعات حتى في المركز - [أي العاصمة]، وكل يوم تتذرع بأعذار مختلفة وتؤجل تعيينه، مع أن تعيين مراقب شرعي للمطبوعات والسماح بتدخله في مراقبة كل ما يتم نشره، سيمنع معظم مفاسد المطبوعات حتى تلك التي تضر بالدولة أيضًا».</w:t>
      </w:r>
      <w:r w:rsidRPr="006E28E9">
        <w:rPr>
          <w:rStyle w:val="Char"/>
          <w:rFonts w:ascii="Arabic11 BT" w:hAnsi="Arabic11 BT" w:cs="Arabic11 BT"/>
          <w:vertAlign w:val="superscript"/>
          <w:rtl/>
        </w:rPr>
        <w:footnoteReference w:id="47"/>
      </w:r>
    </w:p>
    <w:p w:rsidR="00DA6CFB" w:rsidRPr="0092648A" w:rsidRDefault="00DA6CFB" w:rsidP="0092648A">
      <w:pPr>
        <w:widowControl w:val="0"/>
        <w:spacing w:line="216" w:lineRule="auto"/>
        <w:ind w:firstLine="284"/>
        <w:jc w:val="both"/>
        <w:rPr>
          <w:rStyle w:val="Char"/>
          <w:rtl/>
        </w:rPr>
      </w:pPr>
      <w:r w:rsidRPr="0092648A">
        <w:rPr>
          <w:rStyle w:val="Char"/>
          <w:rFonts w:hint="cs"/>
          <w:rtl/>
        </w:rPr>
        <w:t>النقطة الأكثر أهميةً، كانت الأصل الثاني المتمم للدستور، الذي نص على ضرورة توافق كل القوانين الموضوعة مع الأصول والقواعد الإسلامية، فقد ورد كلام بشأن انتخاب علماء من الطراز الأول وقيامهم بمراقبة القوانين التي يصادق عليها المجلس النيابي. لقد جاء في مجلة «آيين اسلام»</w:t>
      </w:r>
      <w:r w:rsidRPr="006E28E9">
        <w:rPr>
          <w:rStyle w:val="Char"/>
          <w:rFonts w:ascii="Arabic11 BT" w:hAnsi="Arabic11 BT" w:cs="Arabic11 BT"/>
          <w:vertAlign w:val="superscript"/>
          <w:rtl/>
        </w:rPr>
        <w:footnoteReference w:id="48"/>
      </w:r>
      <w:r w:rsidRPr="0092648A">
        <w:rPr>
          <w:rStyle w:val="Char"/>
          <w:rFonts w:hint="cs"/>
          <w:rtl/>
        </w:rPr>
        <w:t xml:space="preserve"> السنة 3، العدد 50، وفي المقالة الافتتاحية للعدد التالي من المجلة، مذكرة حول ضرورة تنفيذ هذا الأصل. أُدرجت أيضًا برقية بهذا المضمون في مجلة «آيين اسلام» [شريعة الإسلام]، السنة 4، العدد 3، ص 5. جاء في تلك البرقية أنه بعد مرور أربعين عامًا على الثورة الدستورية، على الدولة أن تسعى </w:t>
      </w:r>
      <w:r w:rsidRPr="0092648A">
        <w:rPr>
          <w:rStyle w:val="Char"/>
          <w:rFonts w:hint="cs"/>
          <w:rtl/>
        </w:rPr>
        <w:lastRenderedPageBreak/>
        <w:t>من خلال تطبيقها لهذا المبدأ إلى «تخليص قلوب الشعب وتصفيتها مما تشعر به من الضيق وسوء الظن بالدولة». كما قامت «</w:t>
      </w:r>
      <w:r w:rsidRPr="008C7124">
        <w:rPr>
          <w:rStyle w:val="Char7"/>
          <w:rFonts w:hint="cs"/>
          <w:rtl/>
        </w:rPr>
        <w:t>جمعية هداية المسلمين</w:t>
      </w:r>
      <w:r w:rsidRPr="0092648A">
        <w:rPr>
          <w:rStyle w:val="Char"/>
          <w:rFonts w:hint="cs"/>
          <w:rtl/>
        </w:rPr>
        <w:t xml:space="preserve">» في كرمانشاه بإدراج برقية أخرى حول هذا الموضوع في مجلة «آيين اسلام» [شريعة الإسلام]، السنة 4، العدد 3، ص 17. ومتابعةً لهذا الأمر طرحت </w:t>
      </w:r>
      <w:r w:rsidRPr="0092648A">
        <w:rPr>
          <w:rStyle w:val="Char8"/>
          <w:rFonts w:hint="cs"/>
          <w:rtl/>
        </w:rPr>
        <w:t>«</w:t>
      </w:r>
      <w:r w:rsidRPr="008C7124">
        <w:rPr>
          <w:rStyle w:val="Char7"/>
          <w:rFonts w:hint="cs"/>
          <w:rtl/>
        </w:rPr>
        <w:t>منظمة اتحاد المسلمين</w:t>
      </w:r>
      <w:r w:rsidRPr="0092648A">
        <w:rPr>
          <w:rStyle w:val="Char8"/>
          <w:rFonts w:hint="cs"/>
          <w:rtl/>
        </w:rPr>
        <w:t>»</w:t>
      </w:r>
      <w:r w:rsidRPr="0092648A">
        <w:rPr>
          <w:rStyle w:val="Char"/>
          <w:rFonts w:hint="cs"/>
          <w:rtl/>
        </w:rPr>
        <w:t xml:space="preserve"> التي كان يرأسها الحاج سراج الأنصاري</w:t>
      </w:r>
      <w:r w:rsidRPr="006E28E9">
        <w:rPr>
          <w:rStyle w:val="Char"/>
          <w:rFonts w:ascii="Arabic11 BT" w:hAnsi="Arabic11 BT" w:cs="Arabic11 BT"/>
          <w:vertAlign w:val="superscript"/>
          <w:rtl/>
        </w:rPr>
        <w:footnoteReference w:id="49"/>
      </w:r>
      <w:r w:rsidRPr="0092648A">
        <w:rPr>
          <w:rStyle w:val="Char"/>
          <w:rFonts w:hint="cs"/>
          <w:rtl/>
        </w:rPr>
        <w:t xml:space="preserve"> المسألة على مستوى أعمّ، فقد طلبت من المراجع إبداء رأيهم وقد تكلم آيات الله: الشيخ محمد حسين آل كاشف الغطاء (توفي 1373هـ.ق) والسيد هبة الدين الشهرستاني، والسيد محمد حجت والسيد محمد هادي الميلاني، والميرزا محمد فيض القمي (1293- 1370هـ.ق) حول هذا الموضوع بصراحة، أما آيات الله: البروجردي والسيد محمد تقي الخونساري فقد مارسوا الحذر وتجنبوا الخوض في هذا الموضوع.</w:t>
      </w:r>
      <w:r w:rsidRPr="006E28E9">
        <w:rPr>
          <w:rStyle w:val="Char"/>
          <w:rFonts w:ascii="Arabic11 BT" w:hAnsi="Arabic11 BT" w:cs="Arabic11 BT"/>
          <w:vertAlign w:val="superscript"/>
          <w:rtl/>
        </w:rPr>
        <w:footnoteReference w:id="50"/>
      </w:r>
      <w:r w:rsidRPr="0092648A">
        <w:rPr>
          <w:rStyle w:val="Char"/>
          <w:rFonts w:hint="cs"/>
          <w:rtl/>
        </w:rPr>
        <w:t xml:space="preserve"> قبل هذا التاريخ كتب الحاج السيد حسين القمي </w:t>
      </w:r>
      <w:r w:rsidRPr="00BA5D4A">
        <w:rPr>
          <w:rFonts w:cs="Times New Roman" w:hint="cs"/>
          <w:rtl/>
        </w:rPr>
        <w:t>–</w:t>
      </w:r>
      <w:r w:rsidRPr="0092648A">
        <w:rPr>
          <w:rStyle w:val="Char"/>
          <w:rFonts w:hint="cs"/>
          <w:rtl/>
        </w:rPr>
        <w:t xml:space="preserve"> الذي كانت لديه حساسية خاصة واهتمام بالغ بمسألة الحجاب- عندما جاء إلى إيران سنة 1322هـ.ش/ 1943م، وحظي باستقبال شعبي وعُلَمَائيٍّ حافل في جميع المدن، كتب رسالةً إلى رئيس الوزراء في حينه (سهيلي) حول الحجاب وطالبه بإلغاء قانون إلزام النساء بخلع حجابهنّ، وقد وافقت الحكومة في إحدى اجتماعاتها على هذا الطلب وعلى عدد من الطلبات الأخرى</w:t>
      </w:r>
      <w:r w:rsidRPr="006E28E9">
        <w:rPr>
          <w:rStyle w:val="Char"/>
          <w:rFonts w:ascii="Arabic11 BT" w:hAnsi="Arabic11 BT" w:cs="Arabic11 BT"/>
          <w:vertAlign w:val="superscript"/>
          <w:rtl/>
        </w:rPr>
        <w:footnoteReference w:id="51"/>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يمكن لنص القانون الذي صادقت عليه الدولة والذي أرسلت نسخة عنه إلى السيد القمي ليطلع عليه، أن يوضح لنا مطالبات السيد القمي وسائر علماء الدين في تلك الظروف</w:t>
      </w:r>
      <w:r w:rsidRPr="006E28E9">
        <w:rPr>
          <w:rStyle w:val="Char"/>
          <w:rFonts w:ascii="Arabic11 BT" w:hAnsi="Arabic11 BT" w:cs="Arabic11 BT"/>
          <w:vertAlign w:val="superscript"/>
          <w:rtl/>
        </w:rPr>
        <w:footnoteReference w:id="52"/>
      </w:r>
      <w:r w:rsidRPr="0092648A">
        <w:rPr>
          <w:rStyle w:val="Char"/>
          <w:rFonts w:hint="cs"/>
          <w:rtl/>
        </w:rPr>
        <w:t>. كان تصور رجال الحكومة أن آية الله أبو الحسن الأصفهاني لم يكن لديه ذلك القدر من الاهتمام بهذه المسألة، الذي كان لدى آية الله القمي.</w:t>
      </w:r>
      <w:r w:rsidRPr="006E28E9">
        <w:rPr>
          <w:rStyle w:val="Char"/>
          <w:rFonts w:ascii="Arabic11 BT" w:hAnsi="Arabic11 BT" w:cs="Arabic11 BT"/>
          <w:vertAlign w:val="superscript"/>
          <w:rtl/>
        </w:rPr>
        <w:footnoteReference w:id="5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لقد كان للسفر المذكور صدى واسع في الصحف ولدى الناس، وقد أظهر أنه بعد سنوات من إشاعة اللادينية والدعاية لها، ما زال الناس متمسكون جدًّا بالدين وبمراجع التقليد، وقد أثارت هذه المسألة غضب كسروي حتى قال عن مجيء آية الله القمي مستهزئًا: «وكأنه بطل ستالينغراد الذي عاد منتصرًا من الحرب». وكتب يقول أيضًا: «ما أهمية قدوم أو ذهاب مجتهد وأي نفعٍ يمكن أن يناله الناس من ذلك؟».</w:t>
      </w:r>
      <w:r w:rsidRPr="006E28E9">
        <w:rPr>
          <w:rStyle w:val="Char"/>
          <w:rFonts w:ascii="Arabic11 BT" w:hAnsi="Arabic11 BT" w:cs="Arabic11 BT"/>
          <w:vertAlign w:val="superscript"/>
          <w:rtl/>
        </w:rPr>
        <w:footnoteReference w:id="54"/>
      </w:r>
      <w:r w:rsidRPr="0092648A">
        <w:rPr>
          <w:rStyle w:val="Char"/>
          <w:rFonts w:hint="cs"/>
          <w:rtl/>
        </w:rPr>
        <w:t xml:space="preserve"> إن إذعان النظام لطلباته- وهو [أي آية الله القمّيّ] الذي كان في يوم من الأيام رمزًا للمقاومة ضد رضا شاه وضد نزع الحجاب- يدل على أن الزمن قد تغيّر، يقول كسروي في مكان آخر أيضًا: «في السنوات الماضية، كانت أكبر خطوة تمَّ القيام بها في سبيل تقوية الرجعية، مجيء السيد القمي».</w:t>
      </w:r>
      <w:r w:rsidRPr="006E28E9">
        <w:rPr>
          <w:rStyle w:val="Char"/>
          <w:rFonts w:ascii="Arabic11 BT" w:hAnsi="Arabic11 BT" w:cs="Arabic11 BT"/>
          <w:vertAlign w:val="superscript"/>
          <w:rtl/>
        </w:rPr>
        <w:footnoteReference w:id="55"/>
      </w:r>
      <w:r w:rsidRPr="0092648A">
        <w:rPr>
          <w:rStyle w:val="Char"/>
          <w:rFonts w:hint="cs"/>
          <w:rtl/>
        </w:rPr>
        <w:t xml:space="preserve"> وفي الموضع ذاته يشكو كسروي من عدم نهوض حزب توده لمواجهة الرجعية، وعدم تحرّك أفراد الحزب ضد القمي، وبدلًا من ذلك خضعوا - على حد قوله - لضغط الرأي العام واعتبروا القمي «أول شخصية دينية». كان سفر القمي إلى إيران، في رأي «پاكدامن» -أحد مريدي كسروي والشغوفين به- «تجليًّا لسياسة محاربة النهج الرضاخاني التي اتَّبعها حكام هذا الزمن والتي تدل على سعي الأوساط الدينية إلى تجديد قواهم وإحياء قوّة رجال الدين».</w:t>
      </w:r>
      <w:r w:rsidRPr="006E28E9">
        <w:rPr>
          <w:rStyle w:val="Char"/>
          <w:rFonts w:ascii="Arabic11 BT" w:hAnsi="Arabic11 BT" w:cs="Arabic11 BT"/>
          <w:vertAlign w:val="superscript"/>
          <w:rtl/>
        </w:rPr>
        <w:footnoteReference w:id="56"/>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فيما يأتي نص رسالة حكومة الوقت التي استجابت فيها إلى مطالب السيد القمي: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«حضرة آية الله القمي، جوابًا للبرقية التي كنتم قد أرسلتموها من مدينة مشهد المقدسة، نعرض لكم بكل احترام أنه قد تم طرح مضمون برقيتكم في اجتماع مجلس الوزراء، وصادقت الحكومة على ما يأتي:</w:t>
      </w:r>
    </w:p>
    <w:p w:rsidR="006E28E9" w:rsidRDefault="00DA6CFB" w:rsidP="006E28E9">
      <w:pPr>
        <w:pStyle w:val="ListParagraph"/>
        <w:widowControl w:val="0"/>
        <w:numPr>
          <w:ilvl w:val="0"/>
          <w:numId w:val="15"/>
        </w:numPr>
        <w:spacing w:line="216" w:lineRule="auto"/>
        <w:ind w:left="624" w:hanging="284"/>
        <w:jc w:val="both"/>
        <w:rPr>
          <w:rStyle w:val="Char"/>
        </w:rPr>
      </w:pPr>
      <w:r w:rsidRPr="0092648A">
        <w:rPr>
          <w:rStyle w:val="Char"/>
          <w:rFonts w:hint="cs"/>
          <w:rtl/>
        </w:rPr>
        <w:t>بالنسبة إلى ما ذكرتموه بشأن حجاب النساء، فقد التزمت الحكومة عمليًّا بهذا الأمر وأصدرت تعليماتها بشأن عدم التعرُّض [للمحجّبات].</w:t>
      </w:r>
    </w:p>
    <w:p w:rsidR="006E28E9" w:rsidRDefault="00DA6CFB" w:rsidP="006E28E9">
      <w:pPr>
        <w:pStyle w:val="ListParagraph"/>
        <w:widowControl w:val="0"/>
        <w:numPr>
          <w:ilvl w:val="0"/>
          <w:numId w:val="15"/>
        </w:numPr>
        <w:spacing w:line="216" w:lineRule="auto"/>
        <w:ind w:left="624" w:hanging="284"/>
        <w:jc w:val="both"/>
        <w:rPr>
          <w:rStyle w:val="Char"/>
        </w:rPr>
      </w:pPr>
      <w:r w:rsidRPr="0092648A">
        <w:rPr>
          <w:rStyle w:val="Char"/>
          <w:rFonts w:hint="cs"/>
          <w:rtl/>
        </w:rPr>
        <w:t>بالنسبة إلى موضوع إعادة الأوقاف الخاصة بالمدارس الدينية إلى مصارفها التي أوقفت لأجلها، فقد اتخذت الحكومة قرارًا قبل عدة أشهر يقضي بلزوم تطبيق قانون الأوقاف والعمل بمفاد رسائل الوقف، وتم اتخاذ التدابير اللازمة للقيام بهذا العمل، وسوف تتابع الحكومة تنفيذ هذا القرار.</w:t>
      </w:r>
    </w:p>
    <w:p w:rsidR="00DA6CFB" w:rsidRPr="0092648A" w:rsidRDefault="00DA6CFB" w:rsidP="006E28E9">
      <w:pPr>
        <w:pStyle w:val="ListParagraph"/>
        <w:widowControl w:val="0"/>
        <w:numPr>
          <w:ilvl w:val="0"/>
          <w:numId w:val="15"/>
        </w:numPr>
        <w:spacing w:line="216" w:lineRule="auto"/>
        <w:ind w:left="624" w:hanging="284"/>
        <w:jc w:val="both"/>
        <w:rPr>
          <w:rStyle w:val="Char"/>
          <w:rtl/>
        </w:rPr>
      </w:pPr>
      <w:r w:rsidRPr="0092648A">
        <w:rPr>
          <w:rStyle w:val="Char"/>
          <w:rFonts w:hint="cs"/>
          <w:rtl/>
        </w:rPr>
        <w:lastRenderedPageBreak/>
        <w:t>بالنسبة إلى موضوع تدريس العلوم الشرعية والالتزام بالآداب الدينية في البرامج التعليمية، فستتم الموافقة على ذلك طبقًا لإشراف مجتهدٍ جامع الشرائط، كما جاء في قانون المجلس الأعلى للثقافة، وبالنسبة إلى المدارس المختلطة فسوف يتم فصل التلاميذ الذكور عن الإناث في أقرب وقت»</w:t>
      </w:r>
      <w:r w:rsidRPr="006E28E9">
        <w:rPr>
          <w:rStyle w:val="Char"/>
          <w:rFonts w:ascii="Arabic11 BT" w:hAnsi="Arabic11 BT" w:cs="Arabic11 BT"/>
          <w:vertAlign w:val="superscript"/>
          <w:rtl/>
        </w:rPr>
        <w:footnoteReference w:id="57"/>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هذا الإطار، ابتدأ آية الله السيد أبو القاسم الكاشاني، في هذا الوقت عينه، أي سنة 1320هـ.ش/ 1941م، نشاطاته التي كان دافعها الأساسي مواجهة الحرب التي ابتدعها نظام رضاخان ضد ما سماه البدع الدينية. كانت أول خطوات آية الله الكاشاني إرساله رسالةً إلى «فروغي»، رئيس الوزراء في حينه، في 17 مهر 1320/1941م، أشار فيها إلى الإجراءات التي يتم العمل بها لأجل القضاء على نظام تدريس العلوم الدينية وإزالة المدارس القديمة، والتي بدأت في عهد رضا خان، وأردف قائلاً في رسالته: «لا يخفى على معاليكم أن الضربة كانت إخلاء المدارس القديمة وجعلها مكانًا لدراسة تلاميذ العلوم العصرية الجديدة، مما سيؤدي إلى انقراض دراسة العلوم الشرعية»، «وتحولت المساجد- التي احترامها من ضروريات الإسلام </w:t>
      </w:r>
      <w:r w:rsidRPr="00BA5D4A">
        <w:rPr>
          <w:rFonts w:cs="Times New Roman" w:hint="cs"/>
          <w:rtl/>
        </w:rPr>
        <w:t>–</w:t>
      </w:r>
      <w:r w:rsidRPr="0092648A">
        <w:rPr>
          <w:rStyle w:val="Char"/>
          <w:rFonts w:hint="cs"/>
          <w:rtl/>
        </w:rPr>
        <w:t xml:space="preserve"> بكل وقاحة وجرأة إلى صفوف جديدة للرياضة وللعب كرة القدم، وبيعت سجاداتها الفاخرة لليهود بأثمان بخسة». والأهم من كل ما سبق قوله: «الضغط والظلم الذي يمارس بحق النساء المسكينات، فمنذ عدة أيام يتم التعرض من جديد إلى خمار النساء».</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وقد أجاب فروغي عن هذا الأمر قائلاً: «بالنسبة إلى سلوك رجال الشرطة مع النساء، تم إصدار التعليمات بعدم التعرض من جديد لهنّ»</w:t>
      </w:r>
      <w:r w:rsidRPr="006E28E9">
        <w:rPr>
          <w:rStyle w:val="Char"/>
          <w:rFonts w:ascii="Arabic11 BT" w:hAnsi="Arabic11 BT" w:cs="Arabic11 BT"/>
          <w:vertAlign w:val="superscript"/>
          <w:rtl/>
        </w:rPr>
        <w:footnoteReference w:id="58"/>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وعلى كل حال تابع العلماء في مدن إيران هذا النضال بصورة مُنَسَّقَة فيما بينهم وقام بعضهم </w:t>
      </w:r>
      <w:r w:rsidRPr="0092648A">
        <w:rPr>
          <w:rStyle w:val="Char"/>
          <w:rFonts w:hint="cs"/>
          <w:rtl/>
        </w:rPr>
        <w:lastRenderedPageBreak/>
        <w:t>بإرسال عرائض طويلة موقعة إلى العاصمة تطالب بإلغاء قانون نزع الحجاب</w:t>
      </w:r>
      <w:r w:rsidRPr="006E28E9">
        <w:rPr>
          <w:rStyle w:val="Char"/>
          <w:rFonts w:ascii="Arabic11 BT" w:hAnsi="Arabic11 BT" w:cs="Arabic11 BT"/>
          <w:vertAlign w:val="superscript"/>
          <w:rtl/>
        </w:rPr>
        <w:footnoteReference w:id="59"/>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إحدى النقاط التاريخية المثيرة للاهتمام في هذه المرحلة الزمنية، مذكرة كتبها الإمام الخميني (قدس سره) في 15 ارديبهشت 1323هـ.ش/ 5 مايو (أيار) 1944م، دعا فيها الشعب وعلماء الدين إلى الثورة والنهوض لأجل الله ولأجل محاربة البدع والمظالم الرضاخانية. ذكر الإمام في مذكرته تلك قائمةً بالمساعي المعادية للدين التي بذلها العدو، وبين طريقة محاربتها، وأكد خلال ذلك بشكل خاص على موضوع الفحشاء والفساد والقضاء على المدارس الدينية ومصادرة أوقافها، وإشاعة كتب كسروي المعادية للتشيع.</w:t>
      </w:r>
      <w:r w:rsidRPr="006E28E9">
        <w:rPr>
          <w:rStyle w:val="Char"/>
          <w:rFonts w:ascii="Arabic11 BT" w:hAnsi="Arabic11 BT" w:cs="Arabic11 BT"/>
          <w:vertAlign w:val="superscript"/>
          <w:rtl/>
        </w:rPr>
        <w:footnoteReference w:id="60"/>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عندما بدأ علماء الدين بالتحرك والنشاط من جديد ابتدأ المثقفون المعارضون لرجال الدين </w:t>
      </w:r>
      <w:r w:rsidRPr="0092648A">
        <w:rPr>
          <w:rStyle w:val="Char"/>
          <w:rFonts w:hint="cs"/>
          <w:rtl/>
        </w:rPr>
        <w:lastRenderedPageBreak/>
        <w:t>بالسب والشتم، ونهضوا بأشكال مختلفة لمواجهة هذا التحرك خوفًا من أن تذهب المنجزات التي تحقَّقت في عهد رضا شاه كلها أدراج الرياح. كنموذج على ذلك قام محمد مسعود رئيس تحرير مجلة «مرد امروز» [رجل اليوم]، في العدد الصادر في شهر تير من سنة 1324 هـ.ش (يونيو/حزيران، 1945م)، من مجلته المذكورة، بشن هجوم عنيف على رجال الدين في طهران وعلى دعوتهم الدينية، ثم كتب يقول: «ليت أحدهم يُفهم هؤلاء العلماء النكبة ويقول: أيها السيد بحر العلوم! لو أن هذه المشيخة، وهذه الخرافات، وهذه النياحة، وهذا اللطم للصدور، وهذه العباءة والنقاب، وسبحة الرياء هذه، وسلاح التكفير هذا، طُبِّقَت وفُرِضَ العمل بها على الناس مدَّة ستة أشهر فقط في مدينة نيويورك، أكثر مدن العالم عمرانًا، لحوَّل ليس نيويورك فقط بل أمريكا الشمالية كلّها إلى خرابة وبيت للعزاء في الدنيا».</w:t>
      </w:r>
      <w:r w:rsidRPr="006E28E9">
        <w:rPr>
          <w:rStyle w:val="Char"/>
          <w:rFonts w:ascii="Arabic11 BT" w:hAnsi="Arabic11 BT" w:cs="Arabic11 BT"/>
          <w:vertAlign w:val="superscript"/>
          <w:rtl/>
        </w:rPr>
        <w:footnoteReference w:id="61"/>
      </w:r>
      <w:r w:rsidRPr="0092648A">
        <w:rPr>
          <w:rStyle w:val="Char"/>
          <w:rFonts w:hint="cs"/>
          <w:rtl/>
        </w:rPr>
        <w:t xml:space="preserve"> كان هذا النهج هو النهج عينه الذي كان يتبعه كسروي، وكل هذا القلق سببه الحقيقي خوفهم من عودة الحالة الدينية الماضية.</w:t>
      </w:r>
      <w:r w:rsidRPr="006E28E9">
        <w:rPr>
          <w:rStyle w:val="Char"/>
          <w:rFonts w:ascii="Arabic11 BT" w:hAnsi="Arabic11 BT" w:cs="Arabic11 BT"/>
          <w:vertAlign w:val="superscript"/>
          <w:rtl/>
        </w:rPr>
        <w:footnoteReference w:id="62"/>
      </w:r>
      <w:r w:rsidRPr="0092648A">
        <w:rPr>
          <w:rStyle w:val="Char"/>
          <w:rFonts w:hint="cs"/>
          <w:rtl/>
        </w:rPr>
        <w:t xml:space="preserve"> في هذه المعمعة كان قتل كسروي صفعة وُجِّهت إلى أمثال هؤلاء الأفراد جعلت معظمهم يتلمسون رؤوسهم ويخشون أن يتعرضوا إلى بطش جماعة «فدائيان اسلام» وانتقامهم، فتوقَّفوا عن كتابة مثل تلك المقالات.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تواصلت هذه التحولات حتى زمن وفات آية الله السيد أبو الحسن الأصفهاني سنة 1325 هـ.ش/1946م، وبوفاته طُرِحت مسألة مرجعية الشيعة في الأذهان والمطبوعات. كان كثير من المصلحين يرغبون بإعداد الأرضية اللازمة لمرجعية فعَّالة نشيطة في الساحة الاجتماعية. يمكننا أن نجد انعكاس هذا الموضوع في مجلة «آيين اسلام» وغيرها من المطبوعات الدينية. في هذه المرحلة الزمنية، وانطلاقًا من النزاع الواقع فيها بين مؤيدي الدين ومعارضيه، ولاسيما الدعايات البهائية والكسروية، اتجه المصلحون الدينيون إلى التفكير بتنظيم أوضاع مؤسسة رجال الدين. كان ينبغي أن </w:t>
      </w:r>
      <w:r w:rsidRPr="0092648A">
        <w:rPr>
          <w:rStyle w:val="Char"/>
          <w:rFonts w:hint="cs"/>
          <w:rtl/>
        </w:rPr>
        <w:lastRenderedPageBreak/>
        <w:t>يصدر هذا العمل عن المرجعية حتى يكون تأثيره عامًّا. خصَّصَتْ إدارةُ مجلة «آيين اسلام» [شريعة الإسلام]، عددها 40 من السنة الثالثة الذي نُشر في شهر دي سنة 1325 هـ.ش (ديسمبر/كانون الأول، 1946م)، للحديث عن هذا الموضوع حيث أجرت المجلة خلاله حوارًا مع آية الله الكاشاني وسألته: ما هو رأيكم المبارك بشأن مرجع التقليد؟ فأجاب آية الله الكاشاني: رأيي أنه إضافة إلى ضرورة امتلاك مرجع التقليد لمقام الاجتهاد والعدالة، يجب أن يكون ذا اهتمام تام بأمور الإسلام الاجتماعية، وأن يدافع عن حياض الدين الإسلامي، وأن يبذل جهده للأمر بالمعروف والنهي عن المنكر وتهذيب أخلاق المسلمين وإعداد المبالغ اللازمة لتُصْرَف في هذا الغرض في داخل البلاد وخارجها، لا أن يكتفي بالإفتاء واستلام الحقوق الشرعية من الناس ولا يمارس تلك الوظائف المهمة المترتبة على مقامه. ولما سأله مُراسل صحيفة «آيين اسلام»: هل ترون أن من مصلحة الشيعة في هذه المناسبة أن يكون لهم مؤسسات دينية أم لا؟ أجاب آية الله الكاشاني قائلاً: إن من أهم الواجبات إيجاد المؤسسات الخاصة برجال الدين والتي تعنى بترتيب أوضاعهم وتنظيمها. وأوصى في هذا الصدد بإنشاء «مجمع مركزي في طهران» وإنشاء فروع له في سائر المحافظات كما أوصى «بتعيين حدود الأشخاص وبإصلاح المدارس القديمة والأشخاص القائمين عليها وإصلاح شؤون طلاب العلوم الدينية وإصلاح منابر الوعظ والإرشاد وتربية الدعاة».</w:t>
      </w:r>
      <w:r w:rsidRPr="006E28E9">
        <w:rPr>
          <w:rStyle w:val="Char"/>
          <w:rFonts w:ascii="Arabic11 BT" w:hAnsi="Arabic11 BT" w:cs="Arabic11 BT"/>
          <w:vertAlign w:val="superscript"/>
          <w:rtl/>
        </w:rPr>
        <w:footnoteReference w:id="63"/>
      </w:r>
    </w:p>
    <w:p w:rsidR="00DA6CFB" w:rsidRPr="0092648A" w:rsidRDefault="00DA6CFB" w:rsidP="0092648A">
      <w:pPr>
        <w:widowControl w:val="0"/>
        <w:spacing w:line="216" w:lineRule="auto"/>
        <w:ind w:firstLine="284"/>
        <w:jc w:val="both"/>
        <w:rPr>
          <w:rStyle w:val="Char"/>
          <w:rtl/>
        </w:rPr>
      </w:pPr>
      <w:r w:rsidRPr="0092648A">
        <w:rPr>
          <w:rStyle w:val="Char"/>
          <w:rFonts w:hint="cs"/>
          <w:rtl/>
        </w:rPr>
        <w:t>خَلَف الحاجُّ السيدُ حسينٌ القمي، السيدَ الأصفهانيَّ في المرجعية لكن السيد القمي مالبث أن توفي أيضًا بعد وفاة الأصفهاني بثلاثة أشهر، وكانت مجلة «آيين اسلام» [شريعة الإسلام] ما تزال تُعِدُّ العدَّةَ لطبع سيرة حياة القمي والترويج لمرجعيته، فاضطرت في تاريخ 20 بهمن 1325 هـ.ش/ 9 فبراير (شباط) 1947م، إلى طبع صفحة مستقلة تحت عنوان «رسالة خاصة بمناسبة وفاة آية الله حسين القمي» تكلمت فيها عن سيرته ومناقبه. بعد ذلك تهيأت الظروف شيئًا فشيئًا لمرجعية آية الله البروجردي، ليس في العراق بل في إيران.</w:t>
      </w:r>
    </w:p>
    <w:p w:rsidR="00DA6CFB" w:rsidRDefault="00DA6CFB" w:rsidP="0092648A">
      <w:pPr>
        <w:pStyle w:val="2"/>
        <w:rPr>
          <w:rtl/>
        </w:rPr>
      </w:pPr>
      <w:bookmarkStart w:id="17" w:name="_Toc444083804"/>
      <w:r>
        <w:rPr>
          <w:rFonts w:hint="cs"/>
          <w:rtl/>
        </w:rPr>
        <w:t>3. محاربة رجال الدين ورد فعل علماء الدين</w:t>
      </w:r>
      <w:bookmarkEnd w:id="17"/>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مع ابتداء نشاط الحوزة العلمية ورجال الدين، والذي مثَّل في الواقع بَدْء تيار إحياء الأفكار الدينية، ابتدأت محاربة جديدة لرجال الدين. هذا إضافةً إلى الميراث الأدبي والثقافي المعادي لرجال </w:t>
      </w:r>
      <w:r w:rsidRPr="0092648A">
        <w:rPr>
          <w:rStyle w:val="Char"/>
          <w:rFonts w:hint="cs"/>
          <w:rtl/>
        </w:rPr>
        <w:lastRenderedPageBreak/>
        <w:t>الدين الذي نشأ في إيران بعد الثورة الدستورية وتَوَلَّى كِبْرَه بعض الشعراء من أمثال عارف وإيرج ميرزا كما كان كثيرون آخرون يزيدون هذه المحاربة لرجال الدين اشتعالاً بأشعارهم وبكتاباتهم. في هذا الجو الجديد كان لكسروي دور أساسي، إلا أن الكتيِّب الذي أثار حساسية الحوزة بشكل كبير هو كتيِّب «اسرار هزار ساله» [أسرار ألف عام] الذي ألفه علي أكبر حَكَمي زاده، والذي دفع الحوزة العلمية إلى الرد عليه أكثر من اهتمامها بالرد على كسروي.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علي أكبر حَكَمي زاده ابن الشيخ مهدي حَكَمي (ابن الآخوند الملا علي أكبر) المشهور بِـ «پايين شهرى» (ولد عام 1280 هـ.ق وتوفي 1360 هـ.ق/1320 هـ.ش)، وهو صهر آية الله السيد أبو الحسن الطالقاني (والد السيد محمود الطالقاني). كان هذا الشخص أحد الوجوه الدينية المعروفة بالعلم والتقوى في قم وعندما جاء آية الله الحائري إلى قم نزل مؤقَّتًا في منزله. وكان كذلك يرأس المدرسة الرضوية في قم. كانت تلك المدرسة قد تحولت في السابق إلى خرابة لكن بمساعي الشيخ مهدي حكمي تم ترميمها بصورة جيدة وتم إسكان الطلاب فيها ليواصلوا دراستهم للعلوم الشرعية.</w:t>
      </w:r>
    </w:p>
    <w:p w:rsidR="00DA6CFB" w:rsidRPr="006E28E9" w:rsidRDefault="00DA6CFB" w:rsidP="0092648A">
      <w:pPr>
        <w:widowControl w:val="0"/>
        <w:spacing w:line="216" w:lineRule="auto"/>
        <w:ind w:firstLine="284"/>
        <w:jc w:val="both"/>
        <w:rPr>
          <w:rStyle w:val="Char"/>
          <w:spacing w:val="-4"/>
          <w:rtl/>
        </w:rPr>
      </w:pPr>
      <w:r w:rsidRPr="006E28E9">
        <w:rPr>
          <w:rStyle w:val="Char"/>
          <w:rFonts w:hint="cs"/>
          <w:spacing w:val="-4"/>
          <w:rtl/>
        </w:rPr>
        <w:t>كان الميرزا علي أكبر طالب علوم دينية مُعَمَّم، وكان يسكن مدة من الزمن مع السيد «بُدَلاء» والسيد «الطالقاني» في حجرة واحدة في تلك المدرسة ذاتها، وكان يذهب أحيانًا إلى طهران ويحضر الاجتماعات الدعوية التي كانت تُعْقَد في منزل عباسقلي بازركان، وكان يدير تلك الجلسات السيد أبو الحسن الطالقاني.</w:t>
      </w:r>
      <w:r w:rsidRPr="006E28E9">
        <w:rPr>
          <w:rStyle w:val="Char"/>
          <w:rFonts w:ascii="Arabic11 BT" w:hAnsi="Arabic11 BT" w:cs="Arabic11 BT"/>
          <w:spacing w:val="-4"/>
          <w:vertAlign w:val="superscript"/>
          <w:rtl/>
        </w:rPr>
        <w:footnoteReference w:id="64"/>
      </w:r>
      <w:r w:rsidRPr="006E28E9">
        <w:rPr>
          <w:rStyle w:val="Char"/>
          <w:rFonts w:hint="cs"/>
          <w:spacing w:val="-4"/>
          <w:rtl/>
        </w:rPr>
        <w:t xml:space="preserve"> في ذلك الزمن، كان الشيخ مهدي حَكَمي يقيم في المدرسة الرضوية مجلس عزاء حافل لقراءة المراثي ومصائب أهل البيت، كان يشارك فيه آية الله الحائري، وكان الشيخ علي أكبر حَكَمي زاده ذاته يصعد المنبر ويلقي في ذلك المجلس الموعظة ويقرأ المراثي. لكنه بدأ رويدًا رويدًا يقول أمورًا تدل على أنه انحرف. كان الشيخ علي أكبر هذا زوج أخت السيد ميرزا علي أصغر أشعري في قم. وقد وصل هذا الانحراف إلى درجة كتابته لكتاب «اسرار هزار ساله» [أسرار ألف عام].</w:t>
      </w:r>
      <w:r w:rsidRPr="006E28E9">
        <w:rPr>
          <w:rStyle w:val="Char"/>
          <w:rFonts w:ascii="Arabic11 BT" w:hAnsi="Arabic11 BT" w:cs="Arabic11 BT"/>
          <w:spacing w:val="-4"/>
          <w:vertAlign w:val="superscript"/>
          <w:rtl/>
        </w:rPr>
        <w:footnoteReference w:id="65"/>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قبل أن يقوم بكتابه «أسرار ألف عام» كان يكتب مقالات وكتيبات تتضمن نوعًا من النزعة العصرية والنظرة الجديدة إلى الدين وأحكام الشريعة. من جملة ذلك كتابه «راه نجات از آفات تمدن عصر حاضر» [سبيل النجاة من آفات حضارة العصر الحالي]، وكان يُباع مِنْ قِبَلِ المكتبة العلمية الإسلامية بريال واحد. تحدث ذلك الكتاب عن أضرار كل من التدخين والمخدرات بأنواعها المختلفة والمشروبات الكحولية (المُسْكرات). ذُكِرَت على الغلاف الخلفي لهذا الكُتَيِّب أسماء عدد من المؤلفات الأخرى لمؤلفه كما يأتي: «دستور ازدواج» [قانون الزواج]، «آئين پاك» [الدين الطاهر]، «حاشيه بر كفايه» [حاشية على كتاب الكفاية (في أصول الفقه)]. والكتاب الأخير يبيِّن بوضوح المستوى المتقدِّم الذي وصل إليه علي أكبر حَكَمي زاده في دراسته الدينية. وقد جاء في التعريف بهذا الكتاب ما يأتي: «يبيِّن الكتاب بعض مشكلات الكفاية وبعض الانتقادات التي وُجِّهَت إليه بأكثر العبارات اختصارًا». كان حكمي زادة يهتم بمجال أصول الصحة وتطابقها مع بعض أحكام الشريعة الإسلامية. وقد خُصِّصَت أحد أعداد المجلة الشهرية «همايون» التي حملت عنوان «الدين والدنيا»، بشكل كامل للحديث عن هذه المسائل الصحية وتطابقها مع الإسلام، مع بيان أن الكاتب هو علي أكبر حَكَمي زاده والناشر هو محمد هُمايون پور والعدد يتعلق بشهر شعبان 1357 هـ.ق، الموافق لشهر مهر 1317 هـ.ش، وهذا يشبه في الواقع ما كتبه المهندس بازرگان فيما بعد تحت عنوان «المطهرات في الإسلام». كما أن حضوره كان وراء كتابة آية الله السيد مصطفى الخونساري والمرحوم بُدلاء مقالات حول إصلاح الدين وإصلاح المنبر وإصلاح قراءة المراثي ومصائب أهل البيت في مآتم [آل النبي] ومجالس عزائهم، بالإضافة إلى مقالات حول اتحاد المسلمين، في مجلة هُمايون المذكورة.</w:t>
      </w:r>
      <w:r w:rsidRPr="006E28E9">
        <w:rPr>
          <w:rStyle w:val="Char"/>
          <w:rFonts w:ascii="Arabic11 BT" w:hAnsi="Arabic11 BT" w:cs="Arabic11 BT"/>
          <w:vertAlign w:val="superscript"/>
          <w:rtl/>
        </w:rPr>
        <w:footnoteReference w:id="66"/>
      </w:r>
      <w:r w:rsidRPr="0092648A">
        <w:rPr>
          <w:rStyle w:val="Char"/>
          <w:rFonts w:hint="cs"/>
          <w:rtl/>
        </w:rPr>
        <w:t xml:space="preserve"> بيد أنه مع مرور الزمن طور مسيرته الإصلاحية وتقدم بها ليصل إلى درجة الرد على </w:t>
      </w:r>
      <w:r w:rsidRPr="0092648A">
        <w:rPr>
          <w:rStyle w:val="Char"/>
          <w:rFonts w:hint="cs"/>
          <w:rtl/>
        </w:rPr>
        <w:lastRenderedPageBreak/>
        <w:t xml:space="preserve">المذهب ذاته. كان يشعر أنه بعد شهر شهريور من عام 1320 هـ.ش [أغسطس (آب)، 1941م]، أي بعد انتهاء عهد رضاخان وبداية عهد ابنه محمد رضا] وعودة قوة علماء الدين من جديد، فإن آماله في تحقق الإصلاحات الرضاشاهية قد ذهبت أدراج الرياح، لذا نهض إلى معارضة مذهب الشيعة ونقد علمائهم. </w:t>
      </w:r>
    </w:p>
    <w:p w:rsidR="00DA6CFB" w:rsidRPr="0092648A" w:rsidRDefault="00DA6CFB" w:rsidP="0092648A">
      <w:pPr>
        <w:widowControl w:val="0"/>
        <w:spacing w:line="216" w:lineRule="auto"/>
        <w:ind w:firstLine="284"/>
        <w:jc w:val="both"/>
        <w:rPr>
          <w:rStyle w:val="Char"/>
          <w:rtl/>
        </w:rPr>
      </w:pPr>
      <w:r w:rsidRPr="0092648A">
        <w:rPr>
          <w:rStyle w:val="Char"/>
          <w:rFonts w:hint="cs"/>
          <w:rtl/>
        </w:rPr>
        <w:t>ألَّفَ حَكَمي زاده كتابه «أسرار هزار ساله» [أسرار ألف عام] كحلقة من سلسلة نشاطاته الناقدة للشعائر والطقوس المذهبية الشيعية، ولكن أغلب نشاطه كان دفاعه عن الإصلاحات الدينية التي قام بها رضاشاه. كانت تلك الحركة [الناقدة للشعائر المذهبية والمطالبة بالإصلاح وإعادة النظر في المذهب] قد بدأت منذ عهد رضا شاه، وكان من مروجيها والداعين إليها أشخاص من أمثال أسد الله خرقاني، و شريعت سنكلجي، ثم كسروي نفسه، و كثيرون آخرون. لقد أُلِّفَ كتاب «أسرار هزار ساله» [أسرار ألف عام]، وكتاب «شيعيگري» [الشيعة والتشيع] الذي كتبه كسروي، بعد عودة الحاج السيد حسين القمي إلى إيران سنة 1322 هـ.ش/1943م [قادمًا من العراق]، إذْ إن تلك العودة رافقتها ضجة إعلامية كبيرة واستقبال واسع بشرَّا بعودة التشيع التقليدي إلى المجتمع من جديد. ولقد تمت موافقة حكومة رئيس الوزراء «سهيلي» على طلبات آية الله القمي، وقامت بإلغاء قانون نزع الحجاب، خلال ذلك السفر ذاته الذي قام به آية الله القمي إلى إيران.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كتب حَكَمي زاده تذكيرًا على الصفحة الأولى من كتابه المذكور يقول: «.... إن</w:t>
      </w:r>
      <w:r w:rsidRPr="0092648A">
        <w:rPr>
          <w:rStyle w:val="Char"/>
          <w:rtl/>
        </w:rPr>
        <w:t xml:space="preserve"> ما قاله مشايخنا وزعماؤنا الدينيون وما كتبوه حتى الآن، ذهبوا به إلى القاضي وحدهم</w:t>
      </w:r>
      <w:r w:rsidRPr="0092648A">
        <w:rPr>
          <w:rStyle w:val="Char"/>
          <w:rFonts w:hint="cs"/>
          <w:rtl/>
        </w:rPr>
        <w:t xml:space="preserve"> [أي لم يسمحوا للآخرين ببيان وجهة نظرهم في ادعاءاتهم]</w:t>
      </w:r>
      <w:r w:rsidRPr="006E28E9">
        <w:rPr>
          <w:rStyle w:val="Char"/>
          <w:rFonts w:ascii="Arabic11 BT" w:hAnsi="Arabic11 BT" w:cs="Arabic11 BT"/>
          <w:vertAlign w:val="superscript"/>
          <w:rtl/>
        </w:rPr>
        <w:footnoteReference w:id="67"/>
      </w:r>
      <w:r w:rsidRPr="0092648A">
        <w:rPr>
          <w:rStyle w:val="Char"/>
          <w:rtl/>
        </w:rPr>
        <w:t>، أما الآخرون فإما أنهم لم يتمتّعوا بالجرأة الكافية لنقد كلامهم وطرح أفكار مخالفة، أو لم يكونوا على اطِّلاع كاف يمكِّنُهُم من فعل ذلك</w:t>
      </w:r>
      <w:r w:rsidRPr="0092648A">
        <w:rPr>
          <w:rStyle w:val="Char"/>
          <w:rFonts w:hint="cs"/>
          <w:rtl/>
        </w:rPr>
        <w:t xml:space="preserve">....... </w:t>
      </w:r>
      <w:r w:rsidRPr="0092648A">
        <w:rPr>
          <w:rStyle w:val="Char"/>
          <w:rtl/>
        </w:rPr>
        <w:t>إذا كان الأمر كذلك، فإن</w:t>
      </w:r>
      <w:r w:rsidRPr="0092648A">
        <w:rPr>
          <w:rStyle w:val="Char"/>
          <w:rFonts w:hint="cs"/>
          <w:rtl/>
        </w:rPr>
        <w:t>ي أقول</w:t>
      </w:r>
      <w:r w:rsidRPr="0092648A">
        <w:rPr>
          <w:rStyle w:val="Char"/>
          <w:rtl/>
        </w:rPr>
        <w:t xml:space="preserve"> </w:t>
      </w:r>
      <w:r w:rsidRPr="0092648A">
        <w:rPr>
          <w:rStyle w:val="Char"/>
          <w:rFonts w:hint="cs"/>
          <w:rtl/>
        </w:rPr>
        <w:t>إ</w:t>
      </w:r>
      <w:r w:rsidRPr="0092648A">
        <w:rPr>
          <w:rStyle w:val="Char"/>
          <w:rtl/>
        </w:rPr>
        <w:t>ن 95 % مما سميتموه دِين</w:t>
      </w:r>
      <w:r w:rsidRPr="0092648A">
        <w:rPr>
          <w:rStyle w:val="Char"/>
          <w:rFonts w:hint="cs"/>
          <w:rtl/>
        </w:rPr>
        <w:t>ً</w:t>
      </w:r>
      <w:r w:rsidRPr="0092648A">
        <w:rPr>
          <w:rStyle w:val="Char"/>
          <w:rtl/>
        </w:rPr>
        <w:t>ا، ليس دِين</w:t>
      </w:r>
      <w:r w:rsidRPr="0092648A">
        <w:rPr>
          <w:rStyle w:val="Char"/>
          <w:rFonts w:hint="cs"/>
          <w:rtl/>
        </w:rPr>
        <w:t>ً</w:t>
      </w:r>
      <w:r w:rsidRPr="0092648A">
        <w:rPr>
          <w:rStyle w:val="Char"/>
          <w:rtl/>
        </w:rPr>
        <w:t>ا حقيقي</w:t>
      </w:r>
      <w:r w:rsidRPr="0092648A">
        <w:rPr>
          <w:rStyle w:val="Char"/>
          <w:rFonts w:hint="cs"/>
          <w:rtl/>
        </w:rPr>
        <w:t>ًّ</w:t>
      </w:r>
      <w:r w:rsidRPr="0092648A">
        <w:rPr>
          <w:rStyle w:val="Char"/>
          <w:rtl/>
        </w:rPr>
        <w:t>ا بل ضلالٌ، و</w:t>
      </w:r>
      <w:r w:rsidRPr="0092648A">
        <w:rPr>
          <w:rStyle w:val="Char"/>
          <w:rFonts w:hint="cs"/>
          <w:rtl/>
        </w:rPr>
        <w:t>أنا</w:t>
      </w:r>
      <w:r w:rsidRPr="0092648A">
        <w:rPr>
          <w:rStyle w:val="Char"/>
          <w:rtl/>
        </w:rPr>
        <w:t xml:space="preserve"> مستعدّ</w:t>
      </w:r>
      <w:r w:rsidRPr="0092648A">
        <w:rPr>
          <w:rStyle w:val="Char"/>
          <w:rFonts w:hint="cs"/>
          <w:rtl/>
        </w:rPr>
        <w:t>ٌ</w:t>
      </w:r>
      <w:r w:rsidRPr="0092648A">
        <w:rPr>
          <w:rStyle w:val="Char"/>
          <w:rtl/>
        </w:rPr>
        <w:t xml:space="preserve"> لإثبات </w:t>
      </w:r>
      <w:r w:rsidRPr="0092648A">
        <w:rPr>
          <w:rStyle w:val="Char"/>
          <w:rFonts w:hint="cs"/>
          <w:rtl/>
        </w:rPr>
        <w:t>ذلك». لقد كان معجبًا جدًّا بإصلاحات رضاشاه وبيَّن موقفه هذا بكل صراحة. كان من الأسئلة التي طرحها في بداية كتابه، بوصفها الأسئلة التي تبرر ما سيذكره في الكتاب، أن قال: «ه</w:t>
      </w:r>
      <w:r w:rsidRPr="0092648A">
        <w:rPr>
          <w:rStyle w:val="Char"/>
          <w:rtl/>
        </w:rPr>
        <w:t xml:space="preserve">ل كان الإيرانيون أكثر </w:t>
      </w:r>
      <w:r w:rsidRPr="0092648A">
        <w:rPr>
          <w:rStyle w:val="Char"/>
          <w:rtl/>
        </w:rPr>
        <w:lastRenderedPageBreak/>
        <w:t>ارتياح</w:t>
      </w:r>
      <w:r w:rsidRPr="0092648A">
        <w:rPr>
          <w:rStyle w:val="Char"/>
          <w:rFonts w:hint="cs"/>
          <w:rtl/>
        </w:rPr>
        <w:t>ً</w:t>
      </w:r>
      <w:r w:rsidRPr="0092648A">
        <w:rPr>
          <w:rStyle w:val="Char"/>
          <w:rtl/>
        </w:rPr>
        <w:t>ا في زمن رضا شاه أم قبل زمنه؟</w:t>
      </w:r>
      <w:r w:rsidRPr="0092648A">
        <w:rPr>
          <w:rStyle w:val="Char"/>
          <w:rFonts w:hint="cs"/>
          <w:rtl/>
        </w:rPr>
        <w:t xml:space="preserve"> هل</w:t>
      </w:r>
      <w:r w:rsidRPr="0092648A">
        <w:rPr>
          <w:rStyle w:val="Char"/>
          <w:rtl/>
        </w:rPr>
        <w:t xml:space="preserve"> </w:t>
      </w:r>
      <w:r w:rsidRPr="0092648A">
        <w:rPr>
          <w:rStyle w:val="Char"/>
          <w:rFonts w:hint="cs"/>
          <w:rtl/>
        </w:rPr>
        <w:t>ر</w:t>
      </w:r>
      <w:r w:rsidRPr="0092648A">
        <w:rPr>
          <w:rStyle w:val="Char"/>
          <w:rtl/>
        </w:rPr>
        <w:t xml:space="preserve">ضا شاه هو الذي </w:t>
      </w:r>
      <w:r w:rsidRPr="0092648A">
        <w:rPr>
          <w:rStyle w:val="Char"/>
          <w:rFonts w:hint="cs"/>
          <w:rtl/>
        </w:rPr>
        <w:t>خرَّب</w:t>
      </w:r>
      <w:r w:rsidRPr="0092648A">
        <w:rPr>
          <w:rStyle w:val="Char"/>
          <w:rtl/>
        </w:rPr>
        <w:t xml:space="preserve"> الدوائر </w:t>
      </w:r>
      <w:r w:rsidRPr="0092648A">
        <w:rPr>
          <w:rStyle w:val="Char"/>
          <w:rFonts w:hint="cs"/>
          <w:rtl/>
        </w:rPr>
        <w:t>والمؤسسات</w:t>
      </w:r>
      <w:r w:rsidRPr="0092648A">
        <w:rPr>
          <w:rStyle w:val="Char"/>
          <w:rtl/>
        </w:rPr>
        <w:t xml:space="preserve"> في إيران أم كانت </w:t>
      </w:r>
      <w:r w:rsidRPr="0092648A">
        <w:rPr>
          <w:rStyle w:val="Char"/>
          <w:rFonts w:hint="cs"/>
          <w:rtl/>
        </w:rPr>
        <w:t>خَرِبة</w:t>
      </w:r>
      <w:r w:rsidRPr="0092648A">
        <w:rPr>
          <w:rStyle w:val="Char"/>
          <w:rtl/>
        </w:rPr>
        <w:t xml:space="preserve"> قبله؟</w:t>
      </w:r>
      <w:r w:rsidRPr="0092648A">
        <w:rPr>
          <w:rStyle w:val="Char"/>
          <w:rFonts w:hint="cs"/>
          <w:rtl/>
        </w:rPr>
        <w:t xml:space="preserve"> هل السبب في ضعف التقوى وقلّة التديُّن في المجتمع اليوم هو رضا شاه أم أن علة ذلك أمورٌ أخرى؟......».</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أُلِّف كتاب «أسرار هزار ساله» [أسرار ألف عام] خلال شهري شهريور و مهر 1322هـ.ش،</w:t>
      </w:r>
      <w:r w:rsidRPr="006E28E9">
        <w:rPr>
          <w:rStyle w:val="Char"/>
          <w:rFonts w:ascii="Arabic11 BT" w:hAnsi="Arabic11 BT" w:cs="Arabic11 BT"/>
          <w:vertAlign w:val="superscript"/>
          <w:rtl/>
        </w:rPr>
        <w:footnoteReference w:id="68"/>
      </w:r>
      <w:r w:rsidRPr="0092648A">
        <w:rPr>
          <w:rStyle w:val="Char"/>
          <w:rFonts w:hint="cs"/>
          <w:rtl/>
        </w:rPr>
        <w:t xml:space="preserve"> ونُشر كملحق بمجلة «پرچم» الخاصة بكسروي، في عددها 12 الصادر بتاريخ 15 مهر من السنة ذاتها.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وفي شهر بهمن (فبراير/شباط) من السنة ذاتها نشر كسروي كتابه «شيعى</w:t>
      </w:r>
      <w:r w:rsidRPr="0092648A">
        <w:rPr>
          <w:rStyle w:val="Char"/>
          <w:rFonts w:ascii="Times New Roman" w:hAnsi="Times New Roman" w:cs="Times New Roman" w:hint="cs"/>
          <w:rtl/>
        </w:rPr>
        <w:t>‌</w:t>
      </w:r>
      <w:r w:rsidRPr="0092648A">
        <w:rPr>
          <w:rStyle w:val="Char"/>
          <w:rFonts w:hint="cs"/>
          <w:rtl/>
        </w:rPr>
        <w:t xml:space="preserve">گرى» [الشيعة والتشيع]. وهذا الأمر يدل على تعاون مؤلفي الكتابين واشتراكهما الفكري.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علي أكبر حكمي زاده ينشط قبل سنوات من ذلك، أي من حوالي سنة 1312 هـ.ش/ 1933م، برفقة مجموعة من طلاب العلوم الدينية المتأثرين بنهضة الإصلاح الديني لرضا شاه، في تحرير ونشر مجلة «همايون». وهي مجلة متأثرة بشكل كامل بعقائد كسروي وأفكاره وبمجلته «پيمان»، وصدرت مجلة «همايون» خلال الفترة بين 1313هـ.ش إلى 1314هـ.ش (يوافق 1934 - 1935م) في قم (كان مجموع الأعداد التي صدرت منها 14 عددًا).</w:t>
      </w:r>
      <w:r w:rsidRPr="006E28E9">
        <w:rPr>
          <w:rStyle w:val="Char"/>
          <w:rFonts w:ascii="Arabic11 BT" w:hAnsi="Arabic11 BT" w:cs="Arabic11 BT"/>
          <w:vertAlign w:val="superscript"/>
          <w:rtl/>
        </w:rPr>
        <w:footnoteReference w:id="69"/>
      </w:r>
      <w:r w:rsidRPr="0092648A">
        <w:rPr>
          <w:rStyle w:val="Char"/>
          <w:rFonts w:hint="cs"/>
          <w:rtl/>
        </w:rPr>
        <w:t xml:space="preserve"> وقبل أن تبدأ مجلة همايون بالانتشار، قامت مجلة «پيمان» بنشر خبر انتشارها والدعاية لها وهذا يدل على وجود علاقة وصلة بين المجلتين.</w:t>
      </w:r>
      <w:r w:rsidRPr="006E28E9">
        <w:rPr>
          <w:rStyle w:val="Char"/>
          <w:rFonts w:ascii="Arabic11 BT" w:hAnsi="Arabic11 BT" w:cs="Arabic11 BT"/>
          <w:vertAlign w:val="superscript"/>
          <w:rtl/>
        </w:rPr>
        <w:footnoteReference w:id="70"/>
      </w:r>
      <w:r w:rsidRPr="0092648A">
        <w:rPr>
          <w:rStyle w:val="Char"/>
          <w:rFonts w:hint="cs"/>
          <w:rtl/>
        </w:rPr>
        <w:t xml:space="preserve"> في العدد الأول من مجلة همايون كتب آية الله الطالقاني (أو والده) مقالة من صفحة واحدة تحت عنوان احترام المرأة وقد طُبع المقال في ذلك العدد تحت اسم علوي الطالقاني (تاريخ صدور المجلة شهر مهر من عام 1313هـ.ش/سبتمبر (أيلول) 1934م)، 18 - 19. كما نجد في المجلة مقالاً بعنوان «زبان خنثى» يدافع عن اخراج الكلمات العربية من اللغة الفارسية وتنقية الفارسية منها في مواصلة للمساعي التي كان قد بدأ بها الميرزا فتح علي آخوند زاده، وتابعها كسروي بشكل جدي، كما كُتب مقالٌ في هذه المجلة بعنوان «الوثنية» ينفي زيارة قبور الأئمة الأطهار. كان الاحتفال بتكريم ذكرى الشاعر فردوسي قائمًا سنة 1313 هـ.ش/1934م في جميع أنحاء إيران، وقد شاركت مجلة </w:t>
      </w:r>
      <w:r w:rsidRPr="0092648A">
        <w:rPr>
          <w:rStyle w:val="Char"/>
          <w:rFonts w:hint="cs"/>
          <w:rtl/>
        </w:rPr>
        <w:lastRenderedPageBreak/>
        <w:t>«همايون» في هذا التكريم أيضًا وأثنت على رضا شاه.</w:t>
      </w:r>
      <w:r w:rsidRPr="006E28E9">
        <w:rPr>
          <w:rStyle w:val="Char"/>
          <w:rFonts w:ascii="Arabic11 BT" w:hAnsi="Arabic11 BT" w:cs="Arabic11 BT"/>
          <w:vertAlign w:val="superscript"/>
          <w:rtl/>
        </w:rPr>
        <w:footnoteReference w:id="71"/>
      </w:r>
      <w:r w:rsidRPr="0092648A">
        <w:rPr>
          <w:rStyle w:val="Char"/>
          <w:rFonts w:hint="cs"/>
          <w:rtl/>
        </w:rPr>
        <w:t xml:space="preserve"> وكتب كسروي أيضًا مقالاً في هذه المجلة تحت عنوان «إيران» وطلب من القراء أن يختاروا طريقًا مختلفًا عن طريقهم السابق ويواصلوا حركتهم فيه.</w:t>
      </w:r>
      <w:r w:rsidRPr="006E28E9">
        <w:rPr>
          <w:rStyle w:val="Char"/>
          <w:rFonts w:ascii="Arabic11 BT" w:hAnsi="Arabic11 BT" w:cs="Arabic11 BT"/>
          <w:vertAlign w:val="superscript"/>
          <w:rtl/>
        </w:rPr>
        <w:footnoteReference w:id="72"/>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وكتب السيد «بدلاء» الذي كان من أعضاء هيئة تحرير مجلة «همايون»، شرحًا حول المجلة، كما عرَّف بالسيد «همايون پور» تعريفًا مفصّلًا. وذكر في تعريفه هذا أن حَكَمي زاده كان قد تعرف على كسروي في طهران ونشأت بينهما صداقة إلى درجة أنه حتى عندما كان حكمي زاده ما يزال طالبًا للعلوم الشرعية في المدرسة الرضوية في قم دعا أكثر من مرَّة كسروي إلى حجرته التي كان يقطنها معه السيد «بدلاء» أيضًا.</w:t>
      </w:r>
      <w:r w:rsidRPr="006E28E9">
        <w:rPr>
          <w:rStyle w:val="Char"/>
          <w:rFonts w:ascii="Arabic11 BT" w:hAnsi="Arabic11 BT" w:cs="Arabic11 BT"/>
          <w:vertAlign w:val="superscript"/>
          <w:rtl/>
        </w:rPr>
        <w:footnoteReference w:id="73"/>
      </w:r>
      <w:r w:rsidRPr="0092648A">
        <w:rPr>
          <w:rStyle w:val="Char"/>
          <w:rFonts w:hint="cs"/>
          <w:rtl/>
        </w:rPr>
        <w:t xml:space="preserve"> لا شك في أن انحراف خكمي زاده كان نتيجةً لمعاشرته لكسروي الذي </w:t>
      </w:r>
      <w:r w:rsidRPr="0092648A">
        <w:rPr>
          <w:rStyle w:val="Char"/>
          <w:rFonts w:hint="cs"/>
          <w:rtl/>
        </w:rPr>
        <w:lastRenderedPageBreak/>
        <w:t>كان يسعى دائمًا إلى سحب الأشخاص المثقفين من جبهة المتدينين وجذبهم إلى طرفه وأفكاره، وقد حاول فعل الأمر ذاته مع المرحوم السيد غلامرضا سعيدي والحاج سراج الأنصاري لكنه لم يفلح في جذبهما نحوه وتحول الاثنين إلى منتقديه.</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الهدف الأساسي لمؤلِّف «اسرار هزار ساله» [أسرار ألف عام] من كتابته لكتابه هذا نقد الشعائر والطقوس المذهبية الشيعية. وقد طرح في بداية كتابه ثلاثة عشر سؤالاً، وطالب العلماء بالإجابة عنها. المسائل التي طرحها في كتابه كانت: التوسُّل، الاستخارة، أصل الإمامة، الأحاديث المتعلقة بإقامة مجالس العزاء [لقراءة المراثي وذكر مصائب آل النبي] وثواب الحضور فيها، سلطة المجتهد في عصر الغيبة، حكومة الظلمة، الضرائب، القانون والتشريع وأبدية قوانين الإسلام، تناقض بعض الأحاديث مع العقل والحياة، وعلة عدم اهتمام الناس بالدين وإعراضهم عنه. قلنا إن هذا الكتاب أُلِّف في شهري شهريور ومهر من عام 1322 هـ.ش [يوافق شهري أغسطس (أب)، وسبتمر (أيلول) من عام 1943م] ونُشِر كملحَق بالعدد 12 من مجلة «پرچم» في الخامس عشر من شهر مهر من السنة ذاتها [يوافق 8/10/1943م].</w:t>
      </w:r>
      <w:r w:rsidRPr="006E28E9">
        <w:rPr>
          <w:rStyle w:val="Char"/>
          <w:rFonts w:ascii="Arabic11 BT" w:hAnsi="Arabic11 BT" w:cs="Arabic11 BT"/>
          <w:vertAlign w:val="superscript"/>
          <w:rtl/>
        </w:rPr>
        <w:footnoteReference w:id="74"/>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سنة 1323 هـ.ش/1944م كتب محمود زرندي كتابًا عنوانه «چند سؤال از كسروى» [عدة أسئلة موجهة إلى كسروي] وذكر في آخر الكتاب فقرة تحت عنوان «الأسئلة التي وجهها صديقنا السيد حكمي زاده إلى السيد كسروي»، وهي ذات أهمية تستدعي الانتباه كونها تلقي الضوء على آراء حكمي زاده ومدى ارتباطها بأفكار كسروي. كان السؤال الخامس يقول: «لقد قلتم فيما كتبتم: إن صاحب كتاب «توحيد عبادت» [توحيد العبادة] أخذ كلامه مما ذكرناه في كتابنا» وكتبتم أيضًا تقولون: «معظم ما جاء في كتاب أسرار ألف عام مأخوذ من مجلة "پيمان". فإن كنتم تقصدون أصول الموضوعات التي ذكرناها فإن رسالة هُمايون والأقوال الأخرى التي ذكرتها، ورسالة «كانون» التي كانت تنشر أقوال ومقالات المرحوم شريعت "أي شريعت سنگلجي مؤلف كتاب توحيد العبادة"، تدل وتشهد على أن أصول الموضوعات التي طرحتها كانت قد طُرِحَت بذاتها قبل عشر سنوات؛ أما إن كنتم تقصدون تفاصيل وجزئيات الموضوعات التي ذكرتها فأرجو أن تتفضلوا وتبيِّنوا لي أي كلام في كتاب توحيد العبادة أو أي كلام في كتاب «اسرار هزار ساله» [أسرار ألف عام] أُخِذَ من مجلة «پيمان»؟ وإن كان مجرد التشابه في الكلام دليلاً على النقل، عندئذ يمكننا أن نقول الكلام ذاته بشأن ابن سعود وابن تيمية والآخرين (أي أنكم نقلتم ما ذكرتموه في كتابكم عنهما).</w:t>
      </w:r>
      <w:r w:rsidRPr="006E28E9">
        <w:rPr>
          <w:rStyle w:val="Char"/>
          <w:rFonts w:ascii="Arabic11 BT" w:hAnsi="Arabic11 BT" w:cs="Arabic11 BT"/>
          <w:vertAlign w:val="superscript"/>
          <w:rtl/>
        </w:rPr>
        <w:footnoteReference w:id="75"/>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عمل حَكَمي زاده في كتابه هذا منصبًّا على نقد العقائد الدينية والمذهبية الرائجة بين الناس، وَطَرَحَ في بداية كتابه 13 سؤالاً، واشتمل كُتَيِّبُه على 36 صفحة فقط مقسَّمَة إلى 6 مقالات. المقال الأول: الله، المقال الثاني: الإمامة، المقال الثالث: عالِم الدين، المقال الرابع: الحكومة، المقال الخامس: القانون، المقال السادس: الحديث.</w:t>
      </w:r>
    </w:p>
    <w:p w:rsidR="00DA6CFB" w:rsidRPr="0092648A" w:rsidRDefault="00DA6CFB" w:rsidP="0092648A">
      <w:pPr>
        <w:widowControl w:val="0"/>
        <w:spacing w:line="216" w:lineRule="auto"/>
        <w:ind w:firstLine="284"/>
        <w:jc w:val="both"/>
        <w:rPr>
          <w:rStyle w:val="Char"/>
          <w:rtl/>
        </w:rPr>
      </w:pPr>
      <w:r w:rsidRPr="0092648A">
        <w:rPr>
          <w:rStyle w:val="Char"/>
          <w:rFonts w:hint="cs"/>
          <w:rtl/>
        </w:rPr>
        <w:t>تحدَّث المؤلف في فصلين من كتابه عن نظام الحكم الذي يطالب به علماء الشيعة. جزء من هذا كان ضمن المقال الثالث المتعلِّق بعلماء الدين وكان كلامه فيه مختصرًا، وقد صرَّح خلال ذلك بأن الفقهاء يعتبرون الحكم من حقّهم وخاصًّا بهم فقط، لكنهم - كما يقول - لا يملكون أي دليل مقنِع يثبت قولهم هذا. إضافةً إلى ذلك، فإن نوع الحكم الذي يطالبون به يؤدي إلى أن يدَّعِيَ عشرات الفقهاء في آن واحد حقَّهم الشرعي بالحكم والسلطة.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الجزء الثاني من الموضوعات التي تحدَّث عنها يقع في المقال الرابع المتعلِّق بالحكومة. في هذا الفصل من كتابه تحدَّث حكمي زاده عن الادعاءات المحبطة - على حد قوله - التي يطرحها الفقهاء </w:t>
      </w:r>
      <w:r w:rsidRPr="0092648A">
        <w:rPr>
          <w:rStyle w:val="Char"/>
          <w:rFonts w:hint="cs"/>
          <w:rtl/>
        </w:rPr>
        <w:lastRenderedPageBreak/>
        <w:t>حول حكومة الظلم والجور، والتي تؤدي إلى تهاون الناس وكسلهم وعدم رغبتهم في تأييد الدولة القائمة وافتقادهم للعزيمة على اتباعها والعمل بقوانينها. وهي المباحث ذاتها التي طرحها الممقاني بشكل مفصَّل في كتابه «دين وشؤون»، فأتى كسروي أيضًا بالكلام ذاته ولكن على نحو أكثر تفصيلاً. اعتبر حكمي زاده أن النظام الفقهي - الاقتصادي الموجود في فقه الشيعة غير كافٍ لإدارة المجتمع وذكر في هذا الصدد بعض الأمثلة التي تتعلق بمسألة الضرائب ومقارنتها بالخمس والزكاة.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يعود انتقاد «ولاية الفقيه» إلى زمن ماضٍ يصل إلى الكتابات التي كُتِبَت في مرحلة الثورة الدستورية. في ذلك الزمن كانت تلك المباحث، أي موضوع ولاية الفقيه، تُطْرَح بالطبع، في الكتب الفقهية فقط، لكن عندما اصطدمت تلك الآراء الفقهية بالأفكار السياسية المعاصرة وجُرَّ المثقَّفون العصريون إلى البحث فيها بدأ موضوعُ نظرية حكم الفقيه وانتقادها يُطْرَح في الكتابات السياسية في ذلك العصر. ربما كان من الأمثلة الواضحة على تلك الأبحاث، وهو بالمناسبة بحث مشابه من حيث المضمون لكتابات حَكَمِي زاده وكسروي، الأمور التي جاءت في مذكَّرات الشيخ إبراهيم الزنجاني (توفي في شهر آذر 1313 هـ.ش/ نوفمبر (تشرين الثاني) 1934م) حول هذا الموضوع، فانتقاداته لولاية الفقيه</w:t>
      </w:r>
      <w:r w:rsidRPr="006E28E9">
        <w:rPr>
          <w:rStyle w:val="Char"/>
          <w:rFonts w:ascii="Arabic11 BT" w:hAnsi="Arabic11 BT" w:cs="Arabic11 BT"/>
          <w:vertAlign w:val="superscript"/>
          <w:rtl/>
        </w:rPr>
        <w:footnoteReference w:id="76"/>
      </w:r>
      <w:r w:rsidRPr="0092648A">
        <w:rPr>
          <w:rStyle w:val="Char"/>
          <w:rFonts w:hint="cs"/>
          <w:rtl/>
        </w:rPr>
        <w:t xml:space="preserve"> تدل أولاً على أن هذه النظرية السياسية حول نظام الحكم كانت مطروحة بشكل كامل في الأذهان، وأساسًا كان النظام الديني الذي يحكم علاقة العلماء بالناس قائمًا على هذه النظرية، مع حذف الحُكْم بمعناه السياسي المصطلح بالطبع</w:t>
      </w:r>
      <w:r w:rsidRPr="006E28E9">
        <w:rPr>
          <w:rStyle w:val="Char"/>
          <w:rFonts w:ascii="Arabic11 BT" w:hAnsi="Arabic11 BT" w:cs="Arabic11 BT"/>
          <w:vertAlign w:val="superscript"/>
          <w:rtl/>
        </w:rPr>
        <w:footnoteReference w:id="77"/>
      </w:r>
      <w:r w:rsidRPr="0092648A">
        <w:rPr>
          <w:rStyle w:val="Char"/>
          <w:rFonts w:hint="cs"/>
          <w:rtl/>
        </w:rPr>
        <w:t>. تكمن أهمية كتاب حكمي زاده مقارنةً بكتاب «شيعى</w:t>
      </w:r>
      <w:r w:rsidRPr="0092648A">
        <w:rPr>
          <w:rStyle w:val="Char"/>
          <w:rFonts w:ascii="Times New Roman" w:hAnsi="Times New Roman" w:cs="Times New Roman" w:hint="cs"/>
          <w:rtl/>
        </w:rPr>
        <w:t>‌</w:t>
      </w:r>
      <w:r w:rsidRPr="0092648A">
        <w:rPr>
          <w:rStyle w:val="Char"/>
          <w:rFonts w:hint="cs"/>
          <w:rtl/>
        </w:rPr>
        <w:t xml:space="preserve">گرى» [الشيعة والتشيع] لكسروي، اللذَيْن انتشرا في وقت واحد تقريبًا، في أن مؤلف الكتاب الأول ابنٌ لأحد أبرز المشايخ والفقهاء والوجوه الدينية المعروفة بالتقوى والصلاح في قم. أضف إلى ذلك أن جده لأمه هو آية الله السيد أبو الحسن الطالقاني، ولهذا السبب كان من اللازم على العلماء أن يردوا على الموضوعات التي طرحها في كتابه. يقول السيد «بُدلاء» في مذكراته: بعد انتشار كتاب «اسرار هزار ساله» [أسرار ألف عام] قرر بعضهم أن يكتب ردًّا عليه. وتمَّت في هذا المجال بعض الأعمال المتفرقة التي لم تكن وافية بالمقصود بل كان بعض الردود واهيًا وغير مناسب. وفي نظره كانت إحدى الردود التي أُلِّفَت هي الرد الذي كتبه آية الله الشيخ محمد الخالصي، الذي لم يُعْجِب العلماء نظرًا إلى ما عُرِف عن الخالصي بانحراف الذوق واعوجاج السليقة. طلب الشيخ </w:t>
      </w:r>
      <w:r w:rsidRPr="0092648A">
        <w:rPr>
          <w:rStyle w:val="Char"/>
          <w:rFonts w:hint="cs"/>
          <w:rtl/>
        </w:rPr>
        <w:lastRenderedPageBreak/>
        <w:t>مهدي الحائري الذي كان ممثلاً لعلماء قم من السيد بدلاء أن يذهب إلى كاشان وأن يدعو السيد الخالصي إلى الانصراف عن نشر رده على كتاب «أسرار ألف عام».</w:t>
      </w:r>
      <w:r w:rsidRPr="006E28E9">
        <w:rPr>
          <w:rStyle w:val="Char"/>
          <w:rFonts w:ascii="Arabic11 BT" w:hAnsi="Arabic11 BT" w:cs="Arabic11 BT"/>
          <w:vertAlign w:val="superscript"/>
          <w:rtl/>
        </w:rPr>
        <w:footnoteReference w:id="78"/>
      </w:r>
    </w:p>
    <w:p w:rsidR="00DA6CFB" w:rsidRPr="0092648A" w:rsidRDefault="00DA6CFB" w:rsidP="0092648A">
      <w:pPr>
        <w:widowControl w:val="0"/>
        <w:spacing w:line="216" w:lineRule="auto"/>
        <w:ind w:firstLine="284"/>
        <w:jc w:val="both"/>
        <w:rPr>
          <w:rStyle w:val="Char"/>
          <w:rtl/>
        </w:rPr>
      </w:pPr>
      <w:r w:rsidRPr="0092648A">
        <w:rPr>
          <w:rStyle w:val="Char"/>
          <w:rFonts w:hint="cs"/>
          <w:rtl/>
        </w:rPr>
        <w:t>ذهب السيد بدلاء إلى قم، والتقى بالشيخ الخالصي وطرح عليه طلب العلماء وبيَّن له انتقاداتهم لردّه وأقنعه أن يسحب من السوق الردّ الذي طبعه ونشره. ووعدوه في المقابل بأن تقوم الحوزة العلمية نفسها بكتابة جواب مفحم على كتاب «أسرار ألف عام».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وقد تُرْجِمَ قرار الحوزة بكتابة رد علمي، عمليًّا بكتابة الإمام الخميني لكتابه «كشف أسرار».</w:t>
      </w:r>
      <w:r w:rsidRPr="006E28E9">
        <w:rPr>
          <w:rStyle w:val="Char"/>
          <w:rFonts w:ascii="Arabic11 BT" w:hAnsi="Arabic11 BT" w:cs="Arabic11 BT"/>
          <w:vertAlign w:val="superscript"/>
          <w:rtl/>
        </w:rPr>
        <w:footnoteReference w:id="79"/>
      </w:r>
      <w:r w:rsidRPr="0092648A">
        <w:rPr>
          <w:rStyle w:val="Char"/>
          <w:rFonts w:hint="cs"/>
          <w:rtl/>
        </w:rPr>
        <w:t xml:space="preserve"> يبدو أن جماعة من فضلاء قم اجتمعوا مع الإمام الخميني - الذي كان أستاذًا للفسلفة في ذلك الوقت- ووضعوا خطةً لتدوين كتاب جامع في نقد كتاب «أسرار ألف عام».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البداية نُشِرَ قسم صغير من رد آية الله الشيخ محمد الخالصي (والذي طبع فيما بعد في كتيب مستقل عنوانه </w:t>
      </w:r>
      <w:r w:rsidRPr="0092648A">
        <w:rPr>
          <w:rStyle w:val="Char"/>
          <w:rFonts w:hint="eastAsia"/>
          <w:rtl/>
        </w:rPr>
        <w:t>«</w:t>
      </w:r>
      <w:r w:rsidRPr="0092648A">
        <w:rPr>
          <w:rStyle w:val="Char"/>
          <w:rFonts w:hint="cs"/>
          <w:rtl/>
        </w:rPr>
        <w:t>كشف الأستار در نقد اسرار هزار ساله</w:t>
      </w:r>
      <w:r w:rsidRPr="0092648A">
        <w:rPr>
          <w:rStyle w:val="Char"/>
          <w:rFonts w:hint="eastAsia"/>
          <w:rtl/>
        </w:rPr>
        <w:t>»</w:t>
      </w:r>
      <w:r w:rsidRPr="0092648A">
        <w:rPr>
          <w:rStyle w:val="Char"/>
          <w:rFonts w:hint="cs"/>
          <w:rtl/>
        </w:rPr>
        <w:t xml:space="preserve"> [أي كشف الأستار في نقد أسرار ألف عام]) بصورة عدة مقالات تحت عنوان رسالة ردّ، في مجلة «آيين إسلام».</w:t>
      </w:r>
      <w:r w:rsidRPr="006E28E9">
        <w:rPr>
          <w:rStyle w:val="Char"/>
          <w:rFonts w:ascii="Arabic11 BT" w:hAnsi="Arabic11 BT" w:cs="Arabic11 BT"/>
          <w:vertAlign w:val="superscript"/>
          <w:rtl/>
        </w:rPr>
        <w:footnoteReference w:id="80"/>
      </w:r>
    </w:p>
    <w:p w:rsidR="00DA6CFB" w:rsidRPr="006E28E9" w:rsidRDefault="00DA6CFB" w:rsidP="0092648A">
      <w:pPr>
        <w:widowControl w:val="0"/>
        <w:spacing w:line="216" w:lineRule="auto"/>
        <w:ind w:firstLine="284"/>
        <w:jc w:val="both"/>
        <w:rPr>
          <w:rStyle w:val="Char"/>
          <w:spacing w:val="-4"/>
          <w:rtl/>
        </w:rPr>
      </w:pPr>
      <w:r w:rsidRPr="006E28E9">
        <w:rPr>
          <w:rStyle w:val="Char"/>
          <w:rFonts w:hint="cs"/>
          <w:spacing w:val="-4"/>
          <w:rtl/>
        </w:rPr>
        <w:t xml:space="preserve">بعد ذلك طُبع كتاب «كشف الأستار» بصورة مستقلة في 56 صفحة. نُظِّم الكتاب بصورة إجابات على الأسئلة الثلاثة عشر التي طرحها حكمي زاده، مع انتقادات وجهت إلى علماء الدين في ذلك العصر. في الواقع لقد أقر الشيخ خالصي زاده ببعض الإشكالات التي طرحها حكمي زاده، وحاول، بعد الدفاع عن مرتكزاته وعن الصورة التي يجب أن يكون عليها علماء الدين في نظره، أن يبين انتقاداته لعلماء الدين الحاليين. تم ذلك في قالب عبارات لاذعة وحادة استخدمها الشيخ خالصي زاده، وكان ذلك - بالطبع - جزءًا من الأدبيات الرائجة في ذلك الزمن، وقد أدى ذلك إلى جعل رده غير مستساغٍ إلى حدٍّ ما، حتى أن مجلة «آيين إسلام» [شريعة الإسلام] توفقت عن نشر بقية حلقات الردّ، وهذا الأمر هو الذي أدى إلى قصة ذهاب السيد </w:t>
      </w:r>
      <w:r w:rsidRPr="006E28E9">
        <w:rPr>
          <w:rStyle w:val="Char"/>
          <w:rFonts w:hint="eastAsia"/>
          <w:spacing w:val="-4"/>
          <w:rtl/>
        </w:rPr>
        <w:t>«ب</w:t>
      </w:r>
      <w:r w:rsidRPr="006E28E9">
        <w:rPr>
          <w:rStyle w:val="Char"/>
          <w:rFonts w:hint="cs"/>
          <w:spacing w:val="-4"/>
          <w:rtl/>
        </w:rPr>
        <w:t>دلاء» إلى كاشان ومحاولته منع توزيع رد الخالصي هذا.</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وقد نشرت مجلة «آيين إسلام» [شريعة الإسلام] نقودًا أخرى لكتاب حكمي زاده، اتهمه بعضها بأنه متأثر بأفكار كسروي.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حركة الإمام في تأليفه لكتاب «كشف الأسرار» أول نشاط عام له، وقد قام بهذا النشاط بعد عدة أشهر من انتشار كتاب «أسرار ألف عام»، أي في سنة 1363 هـ.ق/ 1323 هـ.ش، ويبدو أن الكتاب أُلف خلال أربعين يومًا.</w:t>
      </w:r>
      <w:r w:rsidRPr="006E28E9">
        <w:rPr>
          <w:rStyle w:val="Char"/>
          <w:rFonts w:ascii="Arabic11 BT" w:hAnsi="Arabic11 BT" w:cs="Arabic11 BT"/>
          <w:vertAlign w:val="superscript"/>
          <w:rtl/>
        </w:rPr>
        <w:footnoteReference w:id="81"/>
      </w:r>
      <w:r w:rsidRPr="0092648A">
        <w:rPr>
          <w:rStyle w:val="Char"/>
          <w:rFonts w:hint="cs"/>
          <w:rtl/>
        </w:rPr>
        <w:t xml:space="preserve"> لقد قرر الإمام أن يؤلف كتابًا في هذا الموضوع بناءً على توصية جماعة من طلابه وانطلاقًا من الضرورة التي شعر بها. كان شعور الإمام أنه بعد أن توفرت الأرضية المناسبة لعودة الدين وعلماء الدين من جديد إلى ساحة المجتمع فإن الذين أُشربت قلوبهم بحب الإصلاحات الرضاخانية نهضوا لمحاربة علماء الدين. ورأى في الخطوة التي قام بها حكمي زاده، الذي كان طالبًا للعلوم الشرعية فيما سبق، حلقة من حلقات هذا التحول. كتب الإمام في مقدمة كتابه يقول: «في هذا اليوم الذي وقفت دنيا الجحيم مضطرةً إلى مدّ يدها إلى الدين وعلماء الدين وستفعل ذلك في المستقبل وتستعين بقوى الدين المعنوية، رأى بعض كُتَّابُنا أن من اللازم عليه أن يتهجم على الدين وعلماء الدين والمتدينين،....».</w:t>
      </w:r>
      <w:r w:rsidRPr="006E28E9">
        <w:rPr>
          <w:rStyle w:val="Char"/>
          <w:rFonts w:ascii="Arabic11 BT" w:hAnsi="Arabic11 BT" w:cs="Arabic11 BT"/>
          <w:vertAlign w:val="superscript"/>
          <w:rtl/>
        </w:rPr>
        <w:footnoteReference w:id="82"/>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ثم بدأ الإمام بحثه بتوضيح حول الحركة الوهابية واعتبر أن التيار الداخلي في إيران متأثر بها، مع فارق أن أولئك الأشخاص يبتدؤون بإصلاح الدين لكن لا يلبثون أن ينتهوا باعتبار الدين شيئًا ليس أكثر من العقل، وَمِنْ ثَمَّ يجتثون الدين من جذوره.</w:t>
      </w:r>
    </w:p>
    <w:p w:rsidR="00DA6CFB" w:rsidRPr="0092648A" w:rsidRDefault="00DA6CFB" w:rsidP="0092648A">
      <w:pPr>
        <w:widowControl w:val="0"/>
        <w:spacing w:line="216" w:lineRule="auto"/>
        <w:ind w:firstLine="284"/>
        <w:jc w:val="both"/>
        <w:rPr>
          <w:rStyle w:val="Char"/>
          <w:rtl/>
        </w:rPr>
      </w:pPr>
      <w:r w:rsidRPr="0092648A">
        <w:rPr>
          <w:rStyle w:val="Char"/>
          <w:rFonts w:hint="cs"/>
          <w:rtl/>
        </w:rPr>
        <w:t>النقطة الأخرى من وجهة نظر الإمام أن الإسلام دين كامل وأن الإسلام يقدم إجابات وافية لجميع المسائل بما في ذلك المسائل العصرية الحديثة والإبهامات التي ظهرت في هذا العصر الجديد. وعندئذٍ بدأ الإمام يلقي نظرةً على محاربة الدين وعلماء الدين خلال مدة العشرين السنة الماضية معتبرًا تلك المرحلة مرحلةً سوداء، ومؤكِّدًا أنهم تجاوزا موضوع نقد المشايخ وعلماء الدين إلى نقد الدين ذاته. ثم بدأ الإمام بذكر الردود طبقًا للترتيب ذاته الذي اتّبعه كتاب «اسرار هزار ساله» [أسرار ألف عام] أي ترتيب الفصول وترتيب الأسئلة الثلاثة عشر ذاته.</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كانت أدبيات الكتاب هي ذاتها تقريبًا الأدبيات التي كانت سائدة في لغة الردود في ذلك العصر. كانت أدبيات ثورية، نارية، ونقديَّة حادَّة، تُستخدَم فيها عبارت عنيفة إلى حدٍّ ما وصارمة. وقد </w:t>
      </w:r>
      <w:r w:rsidRPr="0092648A">
        <w:rPr>
          <w:rStyle w:val="Char"/>
          <w:rFonts w:hint="cs"/>
          <w:rtl/>
        </w:rPr>
        <w:lastRenderedPageBreak/>
        <w:t xml:space="preserve">وظف الإمام هذه الأدبيات لخدمة الغاية والهدف، إذ كان يرى أنه بعد مرحلة من الانكماش والتراجع أتيحت الفرصة اليوم لتحقيق هذه الأهداف من جديد فكان الإمام يسعى إلى اجتثاث الظلم والجور والإلحاد عبر ثورة وتحول جذري. لعل اقتباس أحد مقاطع الكتاب يبين بشكل واضح اللغة العامة التي استخدمت فيه: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«آه آه من هؤلاء المحتالين! واحسرتاه من هؤلاء القذرين!! يا إخوتنا في الدين، إخواننا الأطهار، أحباؤنا الإيرانيون، شبابنا الغيورون، مواطنونا الشرفاء، اقرأوا تلك الأوراق المذلة، مظاهر الجريمة، أسس النفاق، جراثيم الفساد، الدعوات للزردشتية والردة إلى المجوسية، والإهانات للمقدسات المذهبية، وابحثوا عن العلاج، يجب عليكم أن تجتثوا هذه البذور القذرة الذليلة من الأرض وتقضوا عليها بفورتكم الوطنية وحركتكم الدينية وغيرتكم على الناموس وعصبيتكم الوطنية وإرادتكم القوية وقبضتكم الحديدية، هؤلاء يُعَرِّضون تراثكم التاريخي للفناء ويتلاعبون بالودائع الإلهية بيد الهوى والهوس، هؤلاء يحرقون كتبكم الدينية التي وصلت إلينا ببركة الدماء الطاهرة لشهداء الفضيلة، هؤلاء يحتفلون بعيد إحراق الكتب وأي كتب؟ تلك الكتب التي وصلت إلى أيديكم بفضل تضحيات الحسين بن علي </w:t>
      </w:r>
      <w:r w:rsidR="00924380" w:rsidRPr="00924380">
        <w:rPr>
          <w:rStyle w:val="Char"/>
          <w:rFonts w:cs="CTraditional Arabic" w:hint="cs"/>
          <w:rtl/>
        </w:rPr>
        <w:t>÷</w:t>
      </w:r>
      <w:r w:rsidRPr="0092648A">
        <w:rPr>
          <w:rStyle w:val="Char"/>
          <w:rFonts w:hint="cs"/>
          <w:rtl/>
        </w:rPr>
        <w:t xml:space="preserve"> والأذى الذي تحمله النبي وأولاد النبي، نعم نحن وإياكم لم نتحمل الأذى في الدين ولم نرشد شبابنا الراشدين إلى طريقه، ولم نبذل الدماء الغالية في سبيله ولذا لا ندرك قيمة ذلك ولا نملك جوابًا في المحكمة الإلهية، نحن مدانون في محكمة الدين، نحن أذلاء في محضر رسول الإسلام. فيا أيها الشرفاء! انتفضوا من مكانكم حتى لا يغلبكم هؤلاء الوحوش».</w:t>
      </w:r>
      <w:r w:rsidRPr="006E28E9">
        <w:rPr>
          <w:rStyle w:val="Char"/>
          <w:rFonts w:ascii="Arabic11 BT" w:hAnsi="Arabic11 BT" w:cs="Arabic11 BT"/>
          <w:vertAlign w:val="superscript"/>
          <w:rtl/>
        </w:rPr>
        <w:footnoteReference w:id="83"/>
      </w:r>
    </w:p>
    <w:p w:rsidR="00DA6CFB" w:rsidRPr="0092648A" w:rsidRDefault="00DA6CFB" w:rsidP="0092648A">
      <w:pPr>
        <w:widowControl w:val="0"/>
        <w:spacing w:line="216" w:lineRule="auto"/>
        <w:ind w:firstLine="284"/>
        <w:jc w:val="both"/>
        <w:rPr>
          <w:rStyle w:val="Char"/>
          <w:rtl/>
        </w:rPr>
      </w:pPr>
      <w:r w:rsidRPr="0092648A">
        <w:rPr>
          <w:rStyle w:val="Char"/>
          <w:rFonts w:hint="cs"/>
          <w:rtl/>
        </w:rPr>
        <w:t>بعض الموضوعات التي طرحها الكتاب تتعلق بمسائل التوحيد والإمامة والشفاعة والزيارة وغيرها من المباحث الاعتقادية وهي لا تتعلق بموضوع كتابنا. لكن بعضها الآخر يتعلق بمسألة الحكم ونظامه في عهد الغيبة وقد طُرح جزء من هذا البحث في الفصل الثالث وجزء في الفصل الرابع من كتاب حكمي زاده، فعالج الإمام في كشف الأسرار هذا الموضوع بالترتيب ذاته أي ضمن الفصلين الثالث والرابع من كتابه.</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لقد قيل كلام كثير وكتبت مقالات عديدة حول ما قاله الإمام في كتابه هذا حول الفقيه والحكومة وولاية الفقهاء في عصر الغيبة وحول تناسب تلك الموضوعات التي طرحها الإمام مع </w:t>
      </w:r>
      <w:r w:rsidRPr="0092648A">
        <w:rPr>
          <w:rStyle w:val="Char"/>
          <w:rFonts w:hint="cs"/>
          <w:rtl/>
        </w:rPr>
        <w:lastRenderedPageBreak/>
        <w:t>ظروف العصر التي طرحت فيه، وحول مقارنتها بوجهات نظر الإمام في المراحل التالية.</w:t>
      </w:r>
      <w:r w:rsidRPr="006E28E9">
        <w:rPr>
          <w:rStyle w:val="Char"/>
          <w:rFonts w:ascii="Arabic11 BT" w:hAnsi="Arabic11 BT" w:cs="Arabic11 BT"/>
          <w:vertAlign w:val="superscript"/>
          <w:rtl/>
        </w:rPr>
        <w:footnoteReference w:id="84"/>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إن الذي يُسْتَفاد مما كتبه الإمام هو أنه موافق من الناحية النظرية على صحة ما يدَّعيه حكمي زاده من أن الفقهاء يعتبرون الحكومة حقهم الخاص، لكنه -أي الإمام - نفى ذلك من الناحية التطبيقية. يؤمن الإمام بولاية الفقيه ويعتبر أن الحكومة الإسلامية أفضل أشكال الحكم وهي المدينة الفاضلة، لكنه يصرِّح في الوقت ذاته أنه في ظروف البلاد الحالية، أي بعد شهريور من عام 1320 هـ.ش (أغسطس/آب 1941م)، لا توجد إمكانية لتطبيق مثل هذا الحكم مِنْ قِبَلِ الفقهاء، أو لا يدَّعي الفقهاء في الظروف الحالية أن الحكم حقَّهم وأنهم يجب أن يجلسوا على سدة الحكم بدلاً من السلطان. لقد أكَّد الإمام على هذه الفكرة أكثر من مرة في هذا الكتاب.</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الحقيقة، كان للإمام ولآخرين معه، تحليلهم الخاص لهذه المسألة التي يطرحها أشخاص من أمثال حكمي زاده وكسروي، أي قولهم بأن الفقهاء يعتبرون الحكم حقهم الخاص بهم، فكان الإمام يرى أن الهدف من هذا الطرح جعل علماء الدين، الذين كانت قوتهم تتنامى بشكل تدريجي، في مواجهة الدولة والحكومة [قبل أن يحين أوان ذلك]. وعندما كان الإمام يرى أن هناك مثل هذا الهدف خلف ذلك الطرح ويرى أن مؤسسة علماء الدين نالَت منذ عهد قريب الأرضية المطلوبة لنموها وتوسُّعها، وقبلت حكومة رئيس الوزراء «سُهَيْلي» بعض مطالباتها، فإن الحكمة تقتضي ألا يُسْمَح لأمثال أولئك الأفراد بتحقيق هدفهم الذي يريدونه. ولهذا السبب بالذات، كان عليه، في ظروف الضعف تلك، أن يؤكد على اكتفاء الفقهاء بمهمة الإشراف على تطبيق القوانين الإسلامية فحسب، وأنهم لا يسعَون أبدًا إلى الوصول إلى الحكم واستلام زمام السلطة. هذه الرؤية كانت لدى </w:t>
      </w:r>
      <w:r w:rsidRPr="0092648A">
        <w:rPr>
          <w:rStyle w:val="Char"/>
          <w:rFonts w:hint="cs"/>
          <w:rtl/>
        </w:rPr>
        <w:lastRenderedPageBreak/>
        <w:t>الإمام وبقيت لديه حتى قيام الثورة الإسلامية.</w:t>
      </w:r>
      <w:r w:rsidRPr="006E28E9">
        <w:rPr>
          <w:rStyle w:val="Char"/>
          <w:rFonts w:ascii="Arabic11 BT" w:hAnsi="Arabic11 BT" w:cs="Arabic11 BT"/>
          <w:vertAlign w:val="superscript"/>
          <w:rtl/>
        </w:rPr>
        <w:footnoteReference w:id="85"/>
      </w:r>
    </w:p>
    <w:p w:rsidR="00DA6CFB" w:rsidRPr="0092648A" w:rsidRDefault="00DA6CFB" w:rsidP="0092648A">
      <w:pPr>
        <w:widowControl w:val="0"/>
        <w:spacing w:line="216" w:lineRule="auto"/>
        <w:ind w:firstLine="284"/>
        <w:jc w:val="both"/>
        <w:rPr>
          <w:rStyle w:val="Char"/>
          <w:rtl/>
        </w:rPr>
      </w:pPr>
      <w:r w:rsidRPr="0092648A">
        <w:rPr>
          <w:rStyle w:val="Char"/>
          <w:rFonts w:hint="cs"/>
          <w:rtl/>
        </w:rPr>
        <w:t>رغم ذلك، وعلى الرغم من تأكيدات الإمام المؤكدة على أن الفقهاء لا يريدون أن يصلوا إلى سدَّة الحكم ويديروا زمام الأمور والدولة بأنفسهم، إلا أنه تكلم بصور مختلفة في هذا الكتاب عن المطالبة بتشكيل مجلس المؤسسين من علماء الدين، أو أن يكون مجلس الشورى الوطني تحت سيطرة العلماء، وأن يستطيع الفقهاء والعلماء أن يشكلوا حكومة إسلامية. وقد ذكر الإمام بوضوح وبشكل رسمي دلائل إثبات ولاية الفقيه مما يكشف بوضوح عن قبوله لهذا المبدأ، ورغم أنه كان يقبل بأن الحكم المثالي هو الحكومة الإسلامية، إلا أن علماء الشيعة وفقهاءهم يقبلون بهذا المقدار الموجود حاليًّا ويؤيدونه ويدافعون عنه ويسعون إلى أسلمته.</w:t>
      </w:r>
    </w:p>
    <w:p w:rsidR="00DA6CFB" w:rsidRPr="00924380" w:rsidRDefault="00DA6CFB" w:rsidP="0092648A">
      <w:pPr>
        <w:widowControl w:val="0"/>
        <w:spacing w:line="216" w:lineRule="auto"/>
        <w:ind w:firstLine="284"/>
        <w:jc w:val="both"/>
        <w:rPr>
          <w:rStyle w:val="Char"/>
          <w:spacing w:val="-4"/>
          <w:rtl/>
        </w:rPr>
      </w:pPr>
      <w:r w:rsidRPr="00924380">
        <w:rPr>
          <w:rStyle w:val="Char"/>
          <w:rFonts w:hint="cs"/>
          <w:spacing w:val="-4"/>
          <w:rtl/>
        </w:rPr>
        <w:t>هنا نذكر نموذجًا من عبارات الإمام يظهر كلا طرفي المسألة. هذه الفقرة تدل بوضوح على أن فكرة ولاية الفقيه كانت موجودة في قلب التيار الإسلامي الذي كان يعيش حالة نهوض وإحياء. يقول:</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«نحن الذين نقول إن الولاية والحكومة في هذا الزمن للفقهاء، لا نريد القول بأن الفقيه يجب أن يكون هو الملك والوزير والعسكري أيضًا وعامل النظافة.</w:t>
      </w:r>
    </w:p>
    <w:p w:rsidR="00DA6CFB" w:rsidRPr="0092648A" w:rsidRDefault="00DA6CFB" w:rsidP="0092648A">
      <w:pPr>
        <w:widowControl w:val="0"/>
        <w:spacing w:line="216" w:lineRule="auto"/>
        <w:ind w:firstLine="284"/>
        <w:jc w:val="both"/>
        <w:rPr>
          <w:rStyle w:val="Char"/>
          <w:rtl/>
        </w:rPr>
      </w:pPr>
      <w:r w:rsidRPr="0092648A">
        <w:rPr>
          <w:rStyle w:val="Char"/>
          <w:rFonts w:hint="cs"/>
          <w:rtl/>
        </w:rPr>
        <w:t>إذا تشكل مجلس الشوري في هذه البلاد من الفقهاء المتدينين أو كان خاضعًا لإشرافهم ومراقبتهم،كما ينص القانون على ذلك، فأي ضرر سيصيب العالم من هذا الأمر؟</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ذكرنا أنه لم يقل أي فقيه حتى الآن، ولم يكتب في أي كتاب أننا أصحاب منصب المَلِك نفسه، أو أن السلطنة والمُلْك من حقنا. نعم إن ما ذكرناه وبيّنّاه هو أنه كل عاقل حكيم يصادق على أن إقامة السلطان وتشكيل الحكومة أمر جيد ومطابق لمصلحة البلاد والشعب. وبالطبع المؤسسات التي تؤسَّس وتُبْنى على أساس أحكام الله والعدل الإلهي هي أفضل المؤسسات والتنظيمات. نحن نقول لو أردنا أن يكون تشكيل الحكومة مراعيًا لحق الله وللعدالة فلابد أن يتألَّف المجلس التشريعي من الفقهاء أو يخضع لإشرافهم.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كما سبق أن ذكرنا، لا نقول إن الحكومة يجب أن تكون بيد الفقيه نفسه، بل نقول يجب أن تُدار الحكومة بقانون الله الذي فيه خير البلاد ومصلحة الشعب، وهذا لا يمكن أن يتم دون إشراف علماء الدين. لابد أن يتم تشكيل الحكومة الإسلامية تحت إشراف إمام عادل أو أن تتم بأمره كي يتم العمل بهذا الأمر.</w:t>
      </w:r>
    </w:p>
    <w:p w:rsidR="00DA6CFB" w:rsidRPr="0092648A" w:rsidRDefault="00DA6CFB" w:rsidP="0092648A">
      <w:pPr>
        <w:widowControl w:val="0"/>
        <w:spacing w:line="216" w:lineRule="auto"/>
        <w:ind w:firstLine="284"/>
        <w:jc w:val="both"/>
        <w:rPr>
          <w:rStyle w:val="Char"/>
          <w:rtl/>
        </w:rPr>
      </w:pPr>
      <w:r w:rsidRPr="0092648A">
        <w:rPr>
          <w:rStyle w:val="Char"/>
          <w:rFonts w:hint="cs"/>
          <w:rtl/>
        </w:rPr>
        <w:t>فالذين يقولون إن الحكومة يجب أن تكون بيد الفقيه لا يقصدون أن الفقيه نفسه يجب أن يكون هو الملك والوزير وقائد الجيش وقائد الشرطة وعامل النظافة، بل الفقيه يجب أن يشرف على السلطة التشريعية والسلطة التنفيذية للمملكة الإسلامية.</w:t>
      </w:r>
    </w:p>
    <w:p w:rsidR="00924380" w:rsidRDefault="00DA6CFB" w:rsidP="0092648A">
      <w:pPr>
        <w:widowControl w:val="0"/>
        <w:spacing w:line="216" w:lineRule="auto"/>
        <w:ind w:firstLine="284"/>
        <w:jc w:val="both"/>
        <w:rPr>
          <w:rStyle w:val="Char"/>
          <w:rtl/>
        </w:rPr>
      </w:pPr>
      <w:r w:rsidRPr="0092648A">
        <w:rPr>
          <w:rStyle w:val="Char"/>
          <w:rFonts w:hint="cs"/>
          <w:rtl/>
        </w:rPr>
        <w:t>نحن نقول إن المجلس التأسيسي إنما يتم تشكيله لأجل تشكيل حكومة أو تغيير نظام، فلابد أن يتشكَّل مثل هذا المجلس من الفقهاء والمشايخ الحكماء ذوي الرتبة العالية المعروفين بالعدالة والتوحيد والتقوى والنزاهة وترك الهوى والشهوات.</w:t>
      </w:r>
      <w:r w:rsidRPr="006E28E9">
        <w:rPr>
          <w:rStyle w:val="Char"/>
          <w:rFonts w:ascii="Arabic11 BT" w:hAnsi="Arabic11 BT" w:cs="Arabic11 BT"/>
          <w:vertAlign w:val="superscript"/>
          <w:rtl/>
        </w:rPr>
        <w:footnoteReference w:id="86"/>
      </w:r>
    </w:p>
    <w:p w:rsidR="00924380" w:rsidRDefault="00924380">
      <w:pPr>
        <w:bidi w:val="0"/>
        <w:rPr>
          <w:rStyle w:val="Char"/>
          <w:rtl/>
        </w:rPr>
      </w:pPr>
      <w:r>
        <w:rPr>
          <w:rStyle w:val="Char"/>
          <w:rtl/>
        </w:rPr>
        <w:br w:type="page"/>
      </w:r>
    </w:p>
    <w:p w:rsidR="00DA6CFB" w:rsidRPr="00924380" w:rsidRDefault="00DA6CFB" w:rsidP="0092648A">
      <w:pPr>
        <w:widowControl w:val="0"/>
        <w:spacing w:line="216" w:lineRule="auto"/>
        <w:ind w:firstLine="284"/>
        <w:jc w:val="both"/>
        <w:rPr>
          <w:rStyle w:val="Char"/>
          <w:sz w:val="2"/>
          <w:szCs w:val="2"/>
          <w:rtl/>
        </w:rPr>
      </w:pPr>
    </w:p>
    <w:p w:rsidR="00DA6CFB" w:rsidRDefault="00DA6CFB" w:rsidP="0092648A">
      <w:pPr>
        <w:pStyle w:val="2"/>
        <w:rPr>
          <w:rtl/>
        </w:rPr>
      </w:pPr>
      <w:bookmarkStart w:id="18" w:name="_Toc444083805"/>
      <w:r>
        <w:rPr>
          <w:rFonts w:hint="cs"/>
          <w:rtl/>
        </w:rPr>
        <w:t>4. ظهور الجمعيات والتنظيمات الدينية - السياسية</w:t>
      </w:r>
      <w:bookmarkEnd w:id="18"/>
    </w:p>
    <w:p w:rsidR="00DA6CFB" w:rsidRDefault="00DA6CFB" w:rsidP="0092648A">
      <w:pPr>
        <w:pStyle w:val="2"/>
        <w:rPr>
          <w:rtl/>
        </w:rPr>
      </w:pPr>
      <w:bookmarkStart w:id="19" w:name="_Toc444083806"/>
      <w:r>
        <w:rPr>
          <w:rFonts w:hint="cs"/>
          <w:rtl/>
        </w:rPr>
        <w:t>أ: جمعية الدعوة الإسلامية</w:t>
      </w:r>
      <w:bookmarkEnd w:id="19"/>
    </w:p>
    <w:p w:rsidR="00DA6CFB" w:rsidRPr="0092648A" w:rsidRDefault="00DA6CFB" w:rsidP="0092648A">
      <w:pPr>
        <w:widowControl w:val="0"/>
        <w:spacing w:line="216" w:lineRule="auto"/>
        <w:ind w:firstLine="284"/>
        <w:jc w:val="both"/>
        <w:rPr>
          <w:rStyle w:val="Char"/>
          <w:rtl/>
        </w:rPr>
      </w:pPr>
      <w:r w:rsidRPr="0092648A">
        <w:rPr>
          <w:rStyle w:val="Char"/>
          <w:rFonts w:hint="cs"/>
          <w:rtl/>
        </w:rPr>
        <w:t>أثناء الثورة الدستورية وفي السنوات التي تلتها بدأت تتشكل في طهران وفي غيرها من المدن جمعيات وطنية مختلفة، ثم ظهرت في الثقافة السياسية في إيران فكرة الحزب وتأسيس الأحزاب، وقامت الوجوه الدينية البارزة تدريجيًّا بإنشاء تنظيمات لأجل تنظيم وضع الدين ومواجهة [التيارات والأحزاب] اللادينية في المجتمع. لاشك أن التنظيمات والتشكيلات التي نشأت بعد شهريور 1320 هـ.ش (أغسطس/آب 1941م) لم تكن سياسية في ميزان واحد، ولكن عندما ندرس مجموع سلوكياتها ونشاطاتها ونعتبر أن الجمعية أو المنظمة تكون سياسيةً عندما تمارس عملاً اجتماعيًّا، يتضح لنا أن تلك التشكيلات والتنظيملات رغم ادِّعائها أحيانًا أنها غير سياسية، إلا أنها في واقع الأمر تمتلك نزعات وميولٍ سياسية. ينبغي، بلا أدنى شك، أن نعتبر المساعي الرباعية لشهاب</w:t>
      </w:r>
      <w:r w:rsidRPr="0092648A">
        <w:rPr>
          <w:rStyle w:val="Char"/>
          <w:rFonts w:ascii="Times New Roman" w:hAnsi="Times New Roman" w:cs="Times New Roman" w:hint="cs"/>
          <w:rtl/>
        </w:rPr>
        <w:t>‌</w:t>
      </w:r>
      <w:r w:rsidRPr="0092648A">
        <w:rPr>
          <w:rStyle w:val="Char"/>
          <w:rFonts w:hint="cs"/>
          <w:rtl/>
        </w:rPr>
        <w:t>پور، ونورياني - مدير مجلة «آيين اسلام» [شريعة الإسلام] - والحاج سراج الأنصاري والشيخ عباس علي الإسلامي، أهم المساعي الدينية المعتدلة لنشر الأفكار الدينية في تلك المرحلة من تاريخ إيران. لذلك سنتحدث هنا عن هؤلاء الأفراد وعن التنظيمات التي قاموا بتشكيلها.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تُعتَبر جمعية: «</w:t>
      </w:r>
      <w:r w:rsidRPr="0092648A">
        <w:rPr>
          <w:rStyle w:val="Char8"/>
          <w:rFonts w:hint="cs"/>
          <w:rtl/>
        </w:rPr>
        <w:t>انجمن تبل</w:t>
      </w:r>
      <w:r w:rsidR="008C7124">
        <w:rPr>
          <w:rStyle w:val="Char8"/>
          <w:rFonts w:hint="cs"/>
          <w:rtl/>
        </w:rPr>
        <w:t>ی</w:t>
      </w:r>
      <w:r w:rsidRPr="0092648A">
        <w:rPr>
          <w:rStyle w:val="Char8"/>
          <w:rFonts w:hint="cs"/>
          <w:rtl/>
        </w:rPr>
        <w:t>غات اسلام</w:t>
      </w:r>
      <w:r w:rsidR="008C7124">
        <w:rPr>
          <w:rStyle w:val="Char8"/>
          <w:rFonts w:hint="cs"/>
          <w:rtl/>
        </w:rPr>
        <w:t>ی</w:t>
      </w:r>
      <w:r w:rsidRPr="0092648A">
        <w:rPr>
          <w:rStyle w:val="Char"/>
          <w:rFonts w:hint="cs"/>
          <w:rtl/>
        </w:rPr>
        <w:t>» [«جمعية الدعوة الإسلامية»] من التنظيمات الإسلامية الواسعة وذات الأهمية البالغة التي أسسها عطاء الله شهاب</w:t>
      </w:r>
      <w:r w:rsidRPr="0092648A">
        <w:rPr>
          <w:rStyle w:val="Char"/>
          <w:rFonts w:ascii="Times New Roman" w:hAnsi="Times New Roman" w:cs="Times New Roman" w:hint="cs"/>
          <w:rtl/>
        </w:rPr>
        <w:t>‌</w:t>
      </w:r>
      <w:r w:rsidRPr="0092648A">
        <w:rPr>
          <w:rStyle w:val="Char"/>
          <w:rFonts w:hint="cs"/>
          <w:rtl/>
        </w:rPr>
        <w:t>پور</w:t>
      </w:r>
      <w:r w:rsidRPr="006E28E9">
        <w:rPr>
          <w:rStyle w:val="Char"/>
          <w:rFonts w:ascii="Arabic11 BT" w:hAnsi="Arabic11 BT" w:cs="Arabic11 BT"/>
          <w:vertAlign w:val="superscript"/>
          <w:rtl/>
        </w:rPr>
        <w:footnoteReference w:id="87"/>
      </w:r>
      <w:r w:rsidRPr="0092648A">
        <w:rPr>
          <w:rStyle w:val="Char"/>
          <w:rFonts w:hint="cs"/>
          <w:rtl/>
        </w:rPr>
        <w:t xml:space="preserve"> (الكرمانشاهي) بعد شهريور </w:t>
      </w:r>
      <w:r w:rsidRPr="0092648A">
        <w:rPr>
          <w:rStyle w:val="Char"/>
          <w:rFonts w:hint="cs"/>
          <w:rtl/>
        </w:rPr>
        <w:lastRenderedPageBreak/>
        <w:t>1320 هـ.ش (اغسطس/آب 1941م). اختيار عنوان «</w:t>
      </w:r>
      <w:r w:rsidRPr="0092648A">
        <w:rPr>
          <w:rStyle w:val="Char8"/>
          <w:rFonts w:hint="cs"/>
          <w:rtl/>
        </w:rPr>
        <w:t>تبل</w:t>
      </w:r>
      <w:r w:rsidR="008C7124">
        <w:rPr>
          <w:rStyle w:val="Char8"/>
          <w:rFonts w:hint="cs"/>
          <w:rtl/>
        </w:rPr>
        <w:t>ی</w:t>
      </w:r>
      <w:r w:rsidRPr="0092648A">
        <w:rPr>
          <w:rStyle w:val="Char8"/>
          <w:rFonts w:hint="cs"/>
          <w:rtl/>
        </w:rPr>
        <w:t>غات</w:t>
      </w:r>
      <w:r w:rsidRPr="0092648A">
        <w:rPr>
          <w:rStyle w:val="Char"/>
          <w:rFonts w:hint="cs"/>
          <w:rtl/>
        </w:rPr>
        <w:t>» [أي الدعوة والتبليغ] في الاسم الذي وضعه شهاب</w:t>
      </w:r>
      <w:r w:rsidRPr="0092648A">
        <w:rPr>
          <w:rStyle w:val="Char"/>
          <w:rFonts w:ascii="Times New Roman" w:hAnsi="Times New Roman" w:cs="Times New Roman" w:hint="cs"/>
          <w:rtl/>
        </w:rPr>
        <w:t>‌</w:t>
      </w:r>
      <w:r w:rsidRPr="0092648A">
        <w:rPr>
          <w:rStyle w:val="Char"/>
          <w:rFonts w:hint="cs"/>
          <w:rtl/>
        </w:rPr>
        <w:t>پور لجمعيته ينبع من الحساسية التي كانت في أذهان المتدينين منذ سنوات حول لزوم إعطاء شكل مقبول ومنطقي لقضية الدعوة إلى الإسلام ونشره. كانت قضية الدعوة من القضايا التي اهتم بها الجميع وسعوا إلى تنظيم وضع الدعوة إلى الإسلام وتبليغه في عالم اليوم الجديد بما يتفق مع الروح السائدة فيه. وسوف نرى أن الهم الأساسي والاهتمام الرئيسي لكثير من التنظيمات والجمعيات الدينية أو على الأقل أحد اهتماماتها الأساسية كان تنظيم موضوع الدعوة إلى الإسلام وتبليغ الدين، لاسيما أن التبشير والدعوة إلى المسيحية كانت منتشرة هنا وهناك في كل مكان، الأمر الذي كان يضاعف من حساسية المتدينين. وقد طُبع في هذا الصدد كُتَيِّب عنوانه «</w:t>
      </w:r>
      <w:r w:rsidRPr="0092648A">
        <w:rPr>
          <w:rStyle w:val="Char8"/>
          <w:rFonts w:hint="cs"/>
          <w:rtl/>
        </w:rPr>
        <w:t>دستور تبل</w:t>
      </w:r>
      <w:r w:rsidR="008C7124">
        <w:rPr>
          <w:rStyle w:val="Char8"/>
          <w:rFonts w:hint="cs"/>
          <w:rtl/>
        </w:rPr>
        <w:t>ی</w:t>
      </w:r>
      <w:r w:rsidRPr="0092648A">
        <w:rPr>
          <w:rStyle w:val="Char8"/>
          <w:rFonts w:hint="cs"/>
          <w:rtl/>
        </w:rPr>
        <w:t>غ</w:t>
      </w:r>
      <w:r w:rsidRPr="0092648A">
        <w:rPr>
          <w:rStyle w:val="Char"/>
          <w:rFonts w:hint="cs"/>
          <w:rtl/>
        </w:rPr>
        <w:t>» [قانون الدعوة والتبيلغ]، من تقريرات حجة الإسلام الحاج السيد محمد رضا كلباسي وفي ذيله كُتِب: بقلم عبد الجواد فلاطوري، ونشرته دار نشر: كتابفروشي إسلامية، وكان ذلك - في الغالب - في أواخر عقد العشرينيات أو أوائل عقد الثلاثينيات</w:t>
      </w:r>
      <w:r w:rsidRPr="006E28E9">
        <w:rPr>
          <w:rStyle w:val="Char"/>
          <w:rFonts w:ascii="Arabic11 BT" w:hAnsi="Arabic11 BT" w:cs="Arabic11 BT"/>
          <w:vertAlign w:val="superscript"/>
          <w:rtl/>
        </w:rPr>
        <w:footnoteReference w:id="88"/>
      </w:r>
      <w:r w:rsidRPr="0092648A">
        <w:rPr>
          <w:rStyle w:val="Char"/>
          <w:rFonts w:hint="cs"/>
          <w:rtl/>
        </w:rPr>
        <w:t>، في مدينة مشهد.</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طبقًا لما كتبته مجلة «آيين اسلام» [شريعة الإسلام] تم تأسيس «جمعية الدعوة الإسلامية» في شهر فروردين من عام 1323 هـ.ش (يوافق شهر مارس وأبريل من عام 1942م) بهدف: «تبليغ دين الإسلام ونشر التوحيد وتعليم الأخلاق الإسلامية في إيران وفي سائر بلدان العالم، وتنقية الدين من </w:t>
      </w:r>
      <w:r w:rsidRPr="0092648A">
        <w:rPr>
          <w:rStyle w:val="Char"/>
          <w:rFonts w:hint="cs"/>
          <w:rtl/>
        </w:rPr>
        <w:lastRenderedPageBreak/>
        <w:t>الخرافات</w:t>
      </w:r>
      <w:r w:rsidRPr="006E28E9">
        <w:rPr>
          <w:rStyle w:val="Char"/>
          <w:rFonts w:ascii="Arabic11 BT" w:hAnsi="Arabic11 BT" w:cs="Arabic11 BT"/>
          <w:vertAlign w:val="superscript"/>
          <w:rtl/>
        </w:rPr>
        <w:footnoteReference w:id="89"/>
      </w:r>
      <w:r w:rsidRPr="0092648A">
        <w:rPr>
          <w:rStyle w:val="Char"/>
          <w:rFonts w:hint="cs"/>
          <w:rtl/>
        </w:rPr>
        <w:t xml:space="preserve"> والإضافات والأمور الدخيلة، وتوعية الشباب وخريجي المدارس والجامعات بحقائق الدين وتفهيمهم فوائد الدين لسعادة المجتمع، وأهمية التدين للحياة الفردية والاجتماعية، وبيان حقائق الإسلام بلغة عصرية وعلى ضوء آخر الاكتشافات العلمية في الدنيا».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النظام الأساسي للجمعية وبعد ذكر مقدمة عن دين الإسلام، وبعد إشارة إلى التبشير والدعوة التي تقوم بها سائر الأديان لاسيما المسيحية، تم الحديث، تحت عنوان «الدعوة والتبليغ»، عن ضرورة القيام بتنظيم هذا العمل بشكل جيد. بعد ذلك، وتحت عنوان «الباعث لنا [لإنشاء هذه الجمعية]» قيل: إن الهدف الأساسي من هذه الجمعية هو نشر دين الإسلام. وهنا جاء أن مؤسس هذا العمل «شخصٌ دارسٌ مُلِمٌّ بعدد من اللغات الأجنبية». ثم تحت عنوان تال هو «برنامجنا» قيل: لأجل نجاة الشباب الذين بمجرد تعرفهم على الحضارة الأورُبية يتصورون أن الدين والمذهب يتعارضان مع الحضارة، لذا فإننا نريد أن نبيِّن أن الدين الوحيد الذي يتّفق مع الحضارة هو الإسلام، لاسيما الحضارة التي ليس فيها فساد للأخلاق. ثم بدأ النظام الأساسي للجمعية بذكر قائمة من الكتب المنشورة، أو في طريقها للنشر. ثم تكلم النظام الأساسي عن شروط العضوية الفخرية وذكر في ذلك 26 مادة. وجاء في الختام: إن أحد أهم أهدافنا من إنشاء هذه الجمعية هو أن العلم، المتعلق بأي زمن من الأزمنة، يتوافق مع الإسلام بل يختص بالإسلام.</w:t>
      </w:r>
      <w:r w:rsidRPr="006E28E9">
        <w:rPr>
          <w:rStyle w:val="Char"/>
          <w:rFonts w:ascii="Arabic11 BT" w:hAnsi="Arabic11 BT" w:cs="Arabic11 BT"/>
          <w:vertAlign w:val="superscript"/>
          <w:rtl/>
        </w:rPr>
        <w:footnoteReference w:id="90"/>
      </w:r>
    </w:p>
    <w:p w:rsidR="00DA6CFB" w:rsidRPr="00924380" w:rsidRDefault="00DA6CFB" w:rsidP="0092648A">
      <w:pPr>
        <w:widowControl w:val="0"/>
        <w:spacing w:line="216" w:lineRule="auto"/>
        <w:ind w:firstLine="284"/>
        <w:jc w:val="both"/>
        <w:rPr>
          <w:rStyle w:val="Char"/>
          <w:spacing w:val="-2"/>
          <w:rtl/>
        </w:rPr>
      </w:pPr>
      <w:r w:rsidRPr="00924380">
        <w:rPr>
          <w:rStyle w:val="Char"/>
          <w:rFonts w:hint="cs"/>
          <w:spacing w:val="-2"/>
          <w:rtl/>
        </w:rPr>
        <w:t xml:space="preserve">بعد سنتين من تأسيسها، طبعت الجمعية إحدى عشر كتاباً في ستين ألف نسخة، وبيعَت كلها حتى أن «مجموعة الكتب المُشار إليها أصبحت تُباع الآن في مناطق إيران النائية بسعر يعادل عدة أضعاف </w:t>
      </w:r>
      <w:r w:rsidRPr="00924380">
        <w:rPr>
          <w:rStyle w:val="Char"/>
          <w:rFonts w:hint="cs"/>
          <w:spacing w:val="-2"/>
          <w:rtl/>
        </w:rPr>
        <w:lastRenderedPageBreak/>
        <w:t>سعرها الأصلي». وعلى إثر ذلك أعرب المجتهدون وكثير من المثقفين المسلمين عبر رسائلهم عن دعمهم لهذه الجمعية وتأييدهم لها. من جملة ما نشرته الجمعية من كُتَيِّبات كُتَيِّب «روحانيت واسلام» [علماء الدين والإسلام].</w:t>
      </w:r>
      <w:r w:rsidRPr="00924380">
        <w:rPr>
          <w:rStyle w:val="Char"/>
          <w:rFonts w:ascii="Arabic11 BT" w:hAnsi="Arabic11 BT" w:cs="Arabic11 BT"/>
          <w:spacing w:val="-2"/>
          <w:vertAlign w:val="superscript"/>
          <w:rtl/>
        </w:rPr>
        <w:footnoteReference w:id="91"/>
      </w:r>
      <w:r w:rsidRPr="00924380">
        <w:rPr>
          <w:rStyle w:val="Char"/>
          <w:rFonts w:hint="cs"/>
          <w:spacing w:val="-2"/>
          <w:rtl/>
        </w:rPr>
        <w:t xml:space="preserve"> ومن الكتب الأخرى التي نشرتها الجمعية «آيين گشايش راه نور در عالم حقيقت» [قانون افتتاح طريق النور في عالم الحقيقة] (طهران، 1323 هـ.ش)، وهو شرح لتأسيس جمعية الدعوة الإسلامية ونشاطاتها، وجاء في النشرة السنوية لنور دانش التي نشرتها الجمعية ذاتها.</w:t>
      </w:r>
      <w:r w:rsidRPr="00924380">
        <w:rPr>
          <w:rStyle w:val="Char"/>
          <w:rFonts w:ascii="Arabic11 BT" w:hAnsi="Arabic11 BT" w:cs="Arabic11 BT"/>
          <w:spacing w:val="-2"/>
          <w:vertAlign w:val="superscript"/>
          <w:rtl/>
        </w:rPr>
        <w:footnoteReference w:id="92"/>
      </w:r>
      <w:r w:rsidRPr="00924380">
        <w:rPr>
          <w:rStyle w:val="Char"/>
          <w:rFonts w:hint="cs"/>
          <w:spacing w:val="-2"/>
          <w:rtl/>
        </w:rPr>
        <w:t xml:space="preserve"> كما أنّ شها</w:t>
      </w:r>
      <w:r w:rsidRPr="00924380">
        <w:rPr>
          <w:rStyle w:val="Char"/>
          <w:rFonts w:ascii="Times New Roman" w:hAnsi="Times New Roman" w:cs="Times New Roman" w:hint="cs"/>
          <w:spacing w:val="-2"/>
          <w:rtl/>
        </w:rPr>
        <w:t>‌</w:t>
      </w:r>
      <w:r w:rsidRPr="00924380">
        <w:rPr>
          <w:rStyle w:val="Char"/>
          <w:rFonts w:hint="cs"/>
          <w:spacing w:val="-2"/>
          <w:rtl/>
        </w:rPr>
        <w:t>ب</w:t>
      </w:r>
      <w:r w:rsidRPr="00924380">
        <w:rPr>
          <w:rStyle w:val="Char"/>
          <w:rFonts w:ascii="Times New Roman" w:hAnsi="Times New Roman" w:cs="Times New Roman" w:hint="cs"/>
          <w:spacing w:val="-2"/>
          <w:rtl/>
        </w:rPr>
        <w:t>‌</w:t>
      </w:r>
      <w:r w:rsidRPr="00924380">
        <w:rPr>
          <w:rStyle w:val="Char"/>
          <w:rFonts w:hint="cs"/>
          <w:spacing w:val="-2"/>
          <w:rtl/>
        </w:rPr>
        <w:t>پور ذاته كتب عددًا من الكتب منها على سبيل المثال «آئينه فرهنگ ايران و جهان» [مرآة ثقافة إيران والعالم] (طهران، سازمان ملى جوانان [منظمة الشباب الوطنية]، 1334هـ.ش/1955م)، وكتابه الآخر حول حنظلة وعنوانه «از حجله عروسى تا بستر شهادت» [من حجرة الزفاف إلى سرير الشهادة] (قم، 1368 هـ.ق/1949م، 32 صفحة). قام شهاب</w:t>
      </w:r>
      <w:r w:rsidRPr="00924380">
        <w:rPr>
          <w:rStyle w:val="Char"/>
          <w:rFonts w:ascii="Times New Roman" w:hAnsi="Times New Roman" w:cs="Times New Roman" w:hint="cs"/>
          <w:spacing w:val="-2"/>
          <w:rtl/>
        </w:rPr>
        <w:t>‌</w:t>
      </w:r>
      <w:r w:rsidRPr="00924380">
        <w:rPr>
          <w:rStyle w:val="Char"/>
          <w:rFonts w:hint="cs"/>
          <w:spacing w:val="-2"/>
          <w:rtl/>
        </w:rPr>
        <w:t>پور، إضافة لإدارته لجمعية الدعوة الإسلامية، ولإلقائه عددًا من المحاضرات الدينية في إذاعة طهران</w:t>
      </w:r>
      <w:r w:rsidRPr="00924380">
        <w:rPr>
          <w:rStyle w:val="Char"/>
          <w:rFonts w:ascii="Arabic11 BT" w:hAnsi="Arabic11 BT" w:cs="Arabic11 BT"/>
          <w:spacing w:val="-2"/>
          <w:vertAlign w:val="superscript"/>
          <w:rtl/>
        </w:rPr>
        <w:footnoteReference w:id="93"/>
      </w:r>
      <w:r w:rsidRPr="00924380">
        <w:rPr>
          <w:rStyle w:val="Char"/>
          <w:rFonts w:hint="cs"/>
          <w:spacing w:val="-2"/>
          <w:rtl/>
        </w:rPr>
        <w:t xml:space="preserve"> بنشر عدد من المجلات باللغة الفارسية وأخرى باللغة الفرنسية والإنجليزية والعربية. في سنة 1325 هـ.ش/1946م أُعْلِن أنّ النشرات الإحدى عشر التي طبعتها الجمعية</w:t>
      </w:r>
      <w:r w:rsidRPr="00924380">
        <w:rPr>
          <w:rStyle w:val="Char"/>
          <w:rFonts w:ascii="Arabic11 BT" w:hAnsi="Arabic11 BT" w:cs="Arabic11 BT"/>
          <w:spacing w:val="-2"/>
          <w:vertAlign w:val="superscript"/>
          <w:rtl/>
        </w:rPr>
        <w:footnoteReference w:id="94"/>
      </w:r>
      <w:r w:rsidRPr="00924380">
        <w:rPr>
          <w:rStyle w:val="Char"/>
          <w:rFonts w:hint="cs"/>
          <w:spacing w:val="-2"/>
          <w:rtl/>
        </w:rPr>
        <w:t xml:space="preserve"> طُبِعَ منها 158 ألف نسخة.</w:t>
      </w:r>
      <w:r w:rsidRPr="00924380">
        <w:rPr>
          <w:rStyle w:val="Char"/>
          <w:rFonts w:ascii="Arabic11 BT" w:hAnsi="Arabic11 BT" w:cs="Arabic11 BT"/>
          <w:spacing w:val="-2"/>
          <w:vertAlign w:val="superscript"/>
          <w:rtl/>
        </w:rPr>
        <w:footnoteReference w:id="95"/>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الأعمال الأخرى التي قامت بها الجمعية لنشر الثقافة الدينية تأكيدها على أهمية تعلم اللغة العربية وقيامها بنشر كتب تساعد على تعلمها.</w:t>
      </w:r>
      <w:r w:rsidRPr="006E28E9">
        <w:rPr>
          <w:rStyle w:val="Char"/>
          <w:rFonts w:ascii="Arabic11 BT" w:hAnsi="Arabic11 BT" w:cs="Arabic11 BT"/>
          <w:vertAlign w:val="superscript"/>
          <w:rtl/>
        </w:rPr>
        <w:footnoteReference w:id="96"/>
      </w:r>
      <w:r w:rsidRPr="0092648A">
        <w:rPr>
          <w:rStyle w:val="Char"/>
          <w:rFonts w:hint="cs"/>
          <w:rtl/>
        </w:rPr>
        <w:t xml:space="preserve"> ونشرت الجمعية مجلةً باللغة الفارسية للأطفال </w:t>
      </w:r>
      <w:r w:rsidRPr="0092648A">
        <w:rPr>
          <w:rStyle w:val="Char"/>
          <w:rFonts w:hint="cs"/>
          <w:rtl/>
        </w:rPr>
        <w:lastRenderedPageBreak/>
        <w:t>اسمها «مجد» ونشرة عامة باسم «نور دانش» [نور العلم].</w:t>
      </w:r>
      <w:r w:rsidRPr="006E28E9">
        <w:rPr>
          <w:rStyle w:val="Char"/>
          <w:rFonts w:ascii="Arabic11 BT" w:hAnsi="Arabic11 BT" w:cs="Arabic11 BT"/>
          <w:vertAlign w:val="superscript"/>
          <w:rtl/>
        </w:rPr>
        <w:footnoteReference w:id="97"/>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لمعظم هذه النشرات - من الناحية الدينية - جاذبية استثنائية. طُبِعَت مجموعة من الكُتَيِّبات التي نشرتها جمعية الدعوة هذه سنة 1323 هـ.ش/1944م، في مجلَّد كبير واحد (624 صفحة) بالعناوين الآتية: دستور افتتاح طريق النور في عالم الحقيقة، الطريق المستقيم، الغزالي يتكلم معكم، مساحة العالم، شهادة العلم والفلسفة بأهمية الصلاة والصوم وحسنهما، شيطان البطر، الإسلام والعلم الحديث، ثقافة الأخلاق الإسلامية، سر السعادة، آيات ذو القرنين. النقطة الأساسية في هذه المقالات والكتيِّبات إثبات علمية الدين أي إثبات التوافق بين العلم والدين. منذ السنة 1324 هـ.ش بدأت تُنْشَر مجلة سنوية</w:t>
      </w:r>
      <w:r w:rsidRPr="006E28E9">
        <w:rPr>
          <w:rStyle w:val="Char"/>
          <w:rFonts w:ascii="Arabic11 BT" w:hAnsi="Arabic11 BT" w:cs="Arabic11 BT"/>
          <w:vertAlign w:val="superscript"/>
          <w:rtl/>
        </w:rPr>
        <w:footnoteReference w:id="98"/>
      </w:r>
      <w:r w:rsidRPr="0092648A">
        <w:rPr>
          <w:rStyle w:val="Char"/>
          <w:rFonts w:hint="cs"/>
          <w:rtl/>
        </w:rPr>
        <w:t xml:space="preserve"> تحت عنوان «نور دانش» [نور العلم] بحجم لا بأس به، تتضمَّن مقالات علمية ودينية وأخلاقية عديدة. بقيت هذه المجلة السنوية تُطْبَع لمدة سنوات متتالية وكان لها قُرَّاء محبون كُثُر. كان شهاب</w:t>
      </w:r>
      <w:r w:rsidRPr="0092648A">
        <w:rPr>
          <w:rStyle w:val="Char"/>
          <w:rFonts w:ascii="Times New Roman" w:hAnsi="Times New Roman" w:cs="Times New Roman" w:hint="cs"/>
          <w:rtl/>
        </w:rPr>
        <w:t>‌</w:t>
      </w:r>
      <w:r w:rsidRPr="0092648A">
        <w:rPr>
          <w:rStyle w:val="Char"/>
          <w:rFonts w:hint="cs"/>
          <w:rtl/>
        </w:rPr>
        <w:t>پور نفسه يكتب بعض المقالات الافتتاحية لتلك المجلات السنوية وكانت تُنْشَر بصورة كُتَيِّبات مستقلة من جملتها كُتَيِّب «بعض الكلمات مع الشباب والمتجددين العصريين في الدفاع عن الدين» والتي طُبِع أصلها في المجلة السنوية لعام 1341 هـ.ش/1962م.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هذه الجمعية تسعى إلى القيام بوظيفة الدعوة إلى الدين من خلال الاستفادة من الأدوات الثقافية للعصر الحديث، وكانت بالطبع ناجحة تمامًا بفضل ذوق مديرها وحسن أسلوبه.</w:t>
      </w:r>
      <w:r w:rsidRPr="006E28E9">
        <w:rPr>
          <w:rStyle w:val="Char"/>
          <w:rFonts w:ascii="Arabic11 BT" w:hAnsi="Arabic11 BT" w:cs="Arabic11 BT"/>
          <w:vertAlign w:val="superscript"/>
          <w:rtl/>
        </w:rPr>
        <w:footnoteReference w:id="99"/>
      </w:r>
      <w:r w:rsidRPr="0092648A">
        <w:rPr>
          <w:rStyle w:val="Char"/>
          <w:rFonts w:hint="cs"/>
          <w:rtl/>
        </w:rPr>
        <w:t xml:space="preserve"> بلغ عدد </w:t>
      </w:r>
      <w:r w:rsidRPr="0092648A">
        <w:rPr>
          <w:rStyle w:val="Char"/>
          <w:rFonts w:hint="cs"/>
          <w:rtl/>
        </w:rPr>
        <w:lastRenderedPageBreak/>
        <w:t>مرافقيه والمؤيدين له الذين يتعاونون معه والذين كان يُشار إليهم بالموظفين، في جميع المدن لاسيما أولئك الذين كانوا ينشطون جدًّا في أصفهان وشيراز: خمسة عشر ألف شخص، وكان يُخَصَّص لكل واحد منهم عدد خاص.</w:t>
      </w:r>
      <w:r w:rsidRPr="006E28E9">
        <w:rPr>
          <w:rStyle w:val="Char"/>
          <w:rFonts w:ascii="Arabic11 BT" w:hAnsi="Arabic11 BT" w:cs="Arabic11 BT"/>
          <w:vertAlign w:val="superscript"/>
          <w:rtl/>
        </w:rPr>
        <w:footnoteReference w:id="100"/>
      </w:r>
      <w:r w:rsidRPr="0092648A">
        <w:rPr>
          <w:rStyle w:val="Char"/>
          <w:rFonts w:hint="cs"/>
          <w:rtl/>
        </w:rPr>
        <w:t xml:space="preserve"> كما كان جماعة من الموظفين في جمعية الدعوة الإسلامية ينشطون في تلك الجمعية في المدن الكبيرة والصغيرة ومن جملتها مدينة مشهد.</w:t>
      </w:r>
      <w:r w:rsidRPr="006E28E9">
        <w:rPr>
          <w:rStyle w:val="Char"/>
          <w:rFonts w:ascii="Arabic11 BT" w:hAnsi="Arabic11 BT" w:cs="Arabic11 BT"/>
          <w:vertAlign w:val="superscript"/>
          <w:rtl/>
        </w:rPr>
        <w:footnoteReference w:id="101"/>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من جملة منشورات الجمعية كتاب باسم </w:t>
      </w:r>
      <w:r w:rsidRPr="0092648A">
        <w:rPr>
          <w:rStyle w:val="Char"/>
          <w:rFonts w:hint="eastAsia"/>
          <w:rtl/>
        </w:rPr>
        <w:t>«</w:t>
      </w:r>
      <w:r w:rsidRPr="0092648A">
        <w:rPr>
          <w:rStyle w:val="Char"/>
          <w:rFonts w:hint="cs"/>
          <w:rtl/>
        </w:rPr>
        <w:t>معرفة الله من القرآن</w:t>
      </w:r>
      <w:r w:rsidRPr="0092648A">
        <w:rPr>
          <w:rStyle w:val="Char"/>
          <w:rFonts w:hint="eastAsia"/>
          <w:rtl/>
        </w:rPr>
        <w:t>»</w:t>
      </w:r>
      <w:r w:rsidRPr="0092648A">
        <w:rPr>
          <w:rStyle w:val="Char"/>
          <w:rFonts w:hint="cs"/>
          <w:rtl/>
        </w:rPr>
        <w:t xml:space="preserve"> طبعه الحاج حسن بزرگر الذي كان أحد موظفي جمعية الدعوة الإسلامية سنة 1382هـ.ق/ 1342هـ.ش (تم طباعته في مطبعة خراسان).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سنة 1327هـ.ش أسَّسَتْ جمعية الدعوة الإسلامية فروعًا لها في كل من كرمانشاه وسنقر وهمدان.</w:t>
      </w:r>
      <w:r w:rsidRPr="006E28E9">
        <w:rPr>
          <w:rStyle w:val="Char"/>
          <w:rFonts w:ascii="Arabic11 BT" w:hAnsi="Arabic11 BT" w:cs="Arabic11 BT"/>
          <w:vertAlign w:val="superscript"/>
          <w:rtl/>
        </w:rPr>
        <w:footnoteReference w:id="102"/>
      </w:r>
      <w:r w:rsidRPr="0092648A">
        <w:rPr>
          <w:rStyle w:val="Char"/>
          <w:rFonts w:hint="cs"/>
          <w:rtl/>
        </w:rPr>
        <w:t xml:space="preserve"> وشكرت جمعية الدعوة الإسلامية في ديزفول الحكومةَ على تعيينها الدكتور سنجابي وزيرًا للثقافة</w:t>
      </w:r>
      <w:r w:rsidRPr="006E28E9">
        <w:rPr>
          <w:rStyle w:val="Char"/>
          <w:rFonts w:ascii="Arabic11 BT" w:hAnsi="Arabic11 BT" w:cs="Arabic11 BT"/>
          <w:vertAlign w:val="superscript"/>
          <w:rtl/>
        </w:rPr>
        <w:footnoteReference w:id="103"/>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xml:space="preserve">تم في المصدر نفسه ذكر الوثائق المتعلقة بالجمعية في مدينة </w:t>
      </w:r>
      <w:r w:rsidRPr="0092648A">
        <w:rPr>
          <w:rStyle w:val="Char"/>
          <w:rFonts w:hint="eastAsia"/>
          <w:rtl/>
        </w:rPr>
        <w:t>«ف</w:t>
      </w:r>
      <w:r w:rsidRPr="0092648A">
        <w:rPr>
          <w:rStyle w:val="Char"/>
          <w:rFonts w:hint="cs"/>
          <w:rtl/>
        </w:rPr>
        <w:t>ومن</w:t>
      </w:r>
      <w:r w:rsidRPr="0092648A">
        <w:rPr>
          <w:rStyle w:val="Char"/>
          <w:rFonts w:hint="eastAsia"/>
          <w:rtl/>
        </w:rPr>
        <w:t>»</w:t>
      </w:r>
      <w:r w:rsidRPr="0092648A">
        <w:rPr>
          <w:rStyle w:val="Char"/>
          <w:rFonts w:hint="cs"/>
          <w:rtl/>
        </w:rPr>
        <w:t xml:space="preserve">، كما ذكرت المجلة السنوية </w:t>
      </w:r>
      <w:r w:rsidRPr="0092648A">
        <w:rPr>
          <w:rStyle w:val="Char"/>
          <w:rFonts w:hint="eastAsia"/>
          <w:rtl/>
        </w:rPr>
        <w:t>«ن</w:t>
      </w:r>
      <w:r w:rsidRPr="0092648A">
        <w:rPr>
          <w:rStyle w:val="Char"/>
          <w:rFonts w:hint="cs"/>
          <w:rtl/>
        </w:rPr>
        <w:t>ور العلم</w:t>
      </w:r>
      <w:r w:rsidRPr="0092648A">
        <w:rPr>
          <w:rStyle w:val="Char"/>
          <w:rFonts w:hint="eastAsia"/>
          <w:rtl/>
        </w:rPr>
        <w:t xml:space="preserve">» </w:t>
      </w:r>
      <w:r w:rsidRPr="0092648A">
        <w:rPr>
          <w:rStyle w:val="Char"/>
          <w:rFonts w:hint="cs"/>
          <w:rtl/>
        </w:rPr>
        <w:t xml:space="preserve">تقريرًا عن نشاطات الجمعية في مدينة </w:t>
      </w:r>
      <w:r w:rsidRPr="0092648A">
        <w:rPr>
          <w:rStyle w:val="Char"/>
          <w:rFonts w:hint="eastAsia"/>
          <w:rtl/>
        </w:rPr>
        <w:t>ش</w:t>
      </w:r>
      <w:r w:rsidRPr="0092648A">
        <w:rPr>
          <w:rStyle w:val="Char"/>
          <w:rFonts w:hint="cs"/>
          <w:rtl/>
        </w:rPr>
        <w:t>وشتر</w:t>
      </w:r>
      <w:r w:rsidRPr="0092648A">
        <w:rPr>
          <w:rStyle w:val="Char"/>
          <w:rFonts w:hint="eastAsia"/>
          <w:rtl/>
        </w:rPr>
        <w:t>.</w:t>
      </w:r>
      <w:r w:rsidRPr="006E28E9">
        <w:rPr>
          <w:rStyle w:val="Char"/>
          <w:rFonts w:ascii="Arabic11 BT" w:hAnsi="Arabic11 BT" w:cs="Arabic11 BT"/>
          <w:vertAlign w:val="superscript"/>
          <w:rtl/>
        </w:rPr>
        <w:footnoteReference w:id="104"/>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إحدى مهام هذه الجمعية، محاربة دعاة البهائية، وكانت هذه المحاربة تجر أحيانًا إلى وقوع اشتباكات.</w:t>
      </w:r>
      <w:r w:rsidRPr="006E28E9">
        <w:rPr>
          <w:rStyle w:val="Char"/>
          <w:rFonts w:ascii="Arabic11 BT" w:hAnsi="Arabic11 BT" w:cs="Arabic11 BT"/>
          <w:vertAlign w:val="superscript"/>
          <w:rtl/>
        </w:rPr>
        <w:footnoteReference w:id="105"/>
      </w:r>
      <w:r w:rsidRPr="0092648A">
        <w:rPr>
          <w:rStyle w:val="Char"/>
          <w:rFonts w:hint="cs"/>
          <w:rtl/>
        </w:rPr>
        <w:t xml:space="preserve"> وكانت الجمعية في بعض الحالات تنجح في هداية بعض الأفراد البهائيين إلى الإسلام.</w:t>
      </w:r>
      <w:r w:rsidRPr="006E28E9">
        <w:rPr>
          <w:rStyle w:val="Char"/>
          <w:rFonts w:ascii="Arabic11 BT" w:hAnsi="Arabic11 BT" w:cs="Arabic11 BT"/>
          <w:vertAlign w:val="superscript"/>
          <w:rtl/>
        </w:rPr>
        <w:footnoteReference w:id="106"/>
      </w:r>
      <w:r w:rsidRPr="0092648A">
        <w:rPr>
          <w:rStyle w:val="Char"/>
          <w:rFonts w:hint="cs"/>
          <w:rtl/>
        </w:rPr>
        <w:t xml:space="preserve"> في عقد العشرينيات ذاته أيضًا بذلت الجمعية مساعي للوحدة بين الشيعة والسنّة، ولهذا السبب تعرضت إلى انتقاد بعض الكتاب.</w:t>
      </w:r>
      <w:r w:rsidRPr="006E28E9">
        <w:rPr>
          <w:rStyle w:val="Char"/>
          <w:rFonts w:ascii="Arabic11 BT" w:hAnsi="Arabic11 BT" w:cs="Arabic11 BT"/>
          <w:vertAlign w:val="superscript"/>
          <w:rtl/>
        </w:rPr>
        <w:footnoteReference w:id="107"/>
      </w:r>
      <w:r w:rsidRPr="0092648A">
        <w:rPr>
          <w:rStyle w:val="Char"/>
          <w:rFonts w:hint="cs"/>
          <w:rtl/>
        </w:rPr>
        <w:t xml:space="preserve"> في ذلك الزمن، رغم أن جميع الجماعات والمجموعات الدينية في إيران كانت تعتبر نفسها مروجة للمذهب الجعفري، إلا أنه كان لها، إلى جانب ذلك، نظرة إلى العالم الإسلامي كله، ونزعة وحدويه أيضًا.</w:t>
      </w:r>
      <w:r w:rsidRPr="006E28E9">
        <w:rPr>
          <w:rStyle w:val="Char"/>
          <w:rFonts w:ascii="Arabic11 BT" w:hAnsi="Arabic11 BT" w:cs="Arabic11 BT"/>
          <w:vertAlign w:val="superscript"/>
          <w:rtl/>
        </w:rPr>
        <w:footnoteReference w:id="108"/>
      </w:r>
    </w:p>
    <w:p w:rsidR="00DA6CFB" w:rsidRPr="0092648A" w:rsidRDefault="00DA6CFB" w:rsidP="0092648A">
      <w:pPr>
        <w:widowControl w:val="0"/>
        <w:spacing w:line="216" w:lineRule="auto"/>
        <w:ind w:firstLine="284"/>
        <w:jc w:val="both"/>
        <w:rPr>
          <w:rStyle w:val="Char"/>
          <w:rtl/>
        </w:rPr>
      </w:pPr>
      <w:r w:rsidRPr="0092648A">
        <w:rPr>
          <w:rStyle w:val="Char"/>
          <w:rFonts w:hint="cs"/>
          <w:rtl/>
        </w:rPr>
        <w:t>عام 1324هـ.ش/1945م، اقترح أحد الكُتاب تشكيل منظمة المركز الإسلامي العالي، الذي يجب أن يتم انتخابه من علماء الدين والمسلمين الأطهار الأنقياء في جميع أنحاء العالم الإسلامي ليقوم بالإشراف على الدعوة الإسلامية والمساجد والمدارس وسائر الأمور الدينية</w:t>
      </w:r>
      <w:r w:rsidRPr="006E28E9">
        <w:rPr>
          <w:rStyle w:val="Char"/>
          <w:rFonts w:ascii="Arabic11 BT" w:hAnsi="Arabic11 BT" w:cs="Arabic11 BT"/>
          <w:vertAlign w:val="superscript"/>
          <w:rtl/>
        </w:rPr>
        <w:footnoteReference w:id="109"/>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بقيت بين وثائق إيران في سفارة إيران في مصر، عدة رسائل كتبتها جمعية الدعوة الإسلامية وأرسلتها إلى السفارة طلبت فيها الحصول على أسماء الإيرانيين المقيمين في مصر كي ترسل إليهم نشرات الدعوة.</w:t>
      </w:r>
      <w:r w:rsidRPr="006E28E9">
        <w:rPr>
          <w:rStyle w:val="Char"/>
          <w:rFonts w:ascii="Arabic11 BT" w:hAnsi="Arabic11 BT" w:cs="Arabic11 BT"/>
          <w:vertAlign w:val="superscript"/>
          <w:rtl/>
        </w:rPr>
        <w:footnoteReference w:id="110"/>
      </w:r>
      <w:r w:rsidRPr="0092648A">
        <w:rPr>
          <w:rStyle w:val="Char"/>
          <w:rFonts w:hint="cs"/>
          <w:rtl/>
        </w:rPr>
        <w:t xml:space="preserve"> وقد قامت السفارة الإيرانية أيضًا بالاستجابة إلى ذلك الطلب، وقدمت للجمعية كشفًا بأسماء بعض الوجوه البارزة من الشخصيات الإيرانية المقيمة في مصر، بالإضافة إلى تعريف الجمعية بأسماء عدد من المؤسسات الإسلامية في القاهرة.</w:t>
      </w:r>
    </w:p>
    <w:p w:rsidR="00DA6CFB" w:rsidRPr="0092648A" w:rsidRDefault="00DA6CFB" w:rsidP="0092648A">
      <w:pPr>
        <w:widowControl w:val="0"/>
        <w:spacing w:line="216" w:lineRule="auto"/>
        <w:ind w:firstLine="284"/>
        <w:jc w:val="both"/>
        <w:rPr>
          <w:rStyle w:val="Char"/>
          <w:rtl/>
        </w:rPr>
      </w:pPr>
      <w:r w:rsidRPr="0092648A">
        <w:rPr>
          <w:rStyle w:val="Char"/>
          <w:rFonts w:hint="cs"/>
          <w:rtl/>
        </w:rPr>
        <w:t>إن نظرةً إلى بعض المجموعات التي قامت الجمعية بنشرها، يمكن أن تعطينا فكرة عن سعة نفوذ هذه الجمعية في الأقطار خارج إيران. ومن ذلك كتاب «</w:t>
      </w:r>
      <w:r w:rsidRPr="008C7124">
        <w:rPr>
          <w:rStyle w:val="Char7"/>
          <w:rFonts w:hint="cs"/>
          <w:rtl/>
        </w:rPr>
        <w:t>الإسلام دين البشرية الأبدي</w:t>
      </w:r>
      <w:r w:rsidRPr="0092648A">
        <w:rPr>
          <w:rStyle w:val="Char"/>
          <w:rFonts w:hint="eastAsia"/>
          <w:rtl/>
        </w:rPr>
        <w:t xml:space="preserve">» </w:t>
      </w:r>
      <w:r w:rsidRPr="0092648A">
        <w:rPr>
          <w:rStyle w:val="Char"/>
          <w:rFonts w:hint="cs"/>
          <w:rtl/>
        </w:rPr>
        <w:t>الذي طبع عام 1330هـ.ش/1951م، وَجُمِعَ عَدَدٌ من مقالاته من أنحاء مختلفة، وضمَّ وثائق وصورًا عديدةً تتعلق بالموظفين العاملين في فروع الجمعية خارج البلاد، وقد أشير في موضعٍ من الكتاب المذكور إلى أرشيف الجمعية الذي يضم صحفًا ومجلات أجنبية كثيرة، جاء فيها الحديث عن نشاطات هذه الجمعية</w:t>
      </w:r>
      <w:r w:rsidRPr="006E28E9">
        <w:rPr>
          <w:rStyle w:val="Char"/>
          <w:rFonts w:ascii="Arabic11 BT" w:hAnsi="Arabic11 BT" w:cs="Arabic11 BT"/>
          <w:vertAlign w:val="superscript"/>
          <w:rtl/>
        </w:rPr>
        <w:footnoteReference w:id="111"/>
      </w:r>
      <w:r w:rsidRPr="0092648A">
        <w:rPr>
          <w:rStyle w:val="Char"/>
          <w:rFonts w:hint="cs"/>
          <w:rtl/>
        </w:rPr>
        <w:t>.</w:t>
      </w:r>
    </w:p>
    <w:p w:rsidR="00DA6CFB" w:rsidRDefault="00DA6CFB" w:rsidP="0092648A">
      <w:pPr>
        <w:pStyle w:val="a0"/>
        <w:rPr>
          <w:rtl/>
        </w:rPr>
      </w:pPr>
      <w:r w:rsidRPr="0092648A">
        <w:rPr>
          <w:rStyle w:val="Char"/>
          <w:rFonts w:hint="cs"/>
          <w:rtl/>
        </w:rPr>
        <w:t xml:space="preserve">لاشك أن جمعية الدعوة الإسلامية التي كان نشاطها في معظمه نشاطٌ ثقافي </w:t>
      </w:r>
      <w:r w:rsidRPr="000450F8">
        <w:rPr>
          <w:rFonts w:cs="Times New Roman" w:hint="cs"/>
          <w:rtl/>
        </w:rPr>
        <w:t>–</w:t>
      </w:r>
      <w:r w:rsidRPr="0092648A">
        <w:rPr>
          <w:rStyle w:val="Char"/>
          <w:rFonts w:hint="cs"/>
          <w:rtl/>
        </w:rPr>
        <w:t xml:space="preserve"> إسلامي، أكثر من كونه نشاطًا سياسيًّا، قد أدت دورًا هامًّا في توسيع الدعوة الدينية وإنشاء التنظيمات الدينية في عقدي العشرينيات والثلاثينيات،</w:t>
      </w:r>
      <w:r w:rsidRPr="006E28E9">
        <w:rPr>
          <w:rStyle w:val="Char"/>
          <w:rFonts w:ascii="Arabic11 BT" w:hAnsi="Arabic11 BT" w:cs="Arabic11 BT"/>
          <w:vertAlign w:val="superscript"/>
          <w:rtl/>
        </w:rPr>
        <w:footnoteReference w:id="112"/>
      </w:r>
      <w:r w:rsidRPr="0092648A">
        <w:rPr>
          <w:rStyle w:val="Char"/>
          <w:rFonts w:hint="cs"/>
          <w:rtl/>
        </w:rPr>
        <w:t xml:space="preserve"> وهداية كثير من الشباب المحب للدعوة إلى العمل في مجال الدعوة الدينية.</w:t>
      </w:r>
    </w:p>
    <w:p w:rsidR="00DA6CFB" w:rsidRDefault="00DA6CFB" w:rsidP="00DA6CFB">
      <w:pPr>
        <w:pStyle w:val="a0"/>
        <w:rPr>
          <w:rtl/>
        </w:rPr>
        <w:sectPr w:rsidR="00DA6CFB" w:rsidSect="00DA6CFB">
          <w:headerReference w:type="default" r:id="rId16"/>
          <w:footnotePr>
            <w:numRestart w:val="eachPage"/>
          </w:footnotePr>
          <w:pgSz w:w="9356" w:h="13608" w:code="1"/>
          <w:pgMar w:top="1021" w:right="851" w:bottom="737" w:left="851" w:header="454" w:footer="0" w:gutter="0"/>
          <w:cols w:space="720"/>
          <w:titlePg/>
          <w:bidi/>
          <w:rtlGutter/>
          <w:docGrid w:linePitch="360"/>
        </w:sectPr>
      </w:pPr>
    </w:p>
    <w:p w:rsidR="00DA6CFB" w:rsidRDefault="00DA6CFB" w:rsidP="0092648A">
      <w:pPr>
        <w:pStyle w:val="1"/>
        <w:rPr>
          <w:rtl/>
        </w:rPr>
      </w:pPr>
      <w:bookmarkStart w:id="20" w:name="_Toc444083807"/>
      <w:r w:rsidRPr="007D68CA">
        <w:rPr>
          <w:rFonts w:hint="cs"/>
          <w:rtl/>
        </w:rPr>
        <w:lastRenderedPageBreak/>
        <w:t xml:space="preserve">الفصل </w:t>
      </w:r>
      <w:r>
        <w:rPr>
          <w:rFonts w:hint="cs"/>
          <w:rtl/>
        </w:rPr>
        <w:t>الثاني</w:t>
      </w:r>
      <w:r w:rsidR="0092648A">
        <w:rPr>
          <w:rFonts w:hint="cs"/>
          <w:rtl/>
        </w:rPr>
        <w:t>:</w:t>
      </w:r>
      <w:r w:rsidR="0092648A">
        <w:rPr>
          <w:rtl/>
        </w:rPr>
        <w:br/>
      </w:r>
      <w:r>
        <w:rPr>
          <w:rFonts w:hint="cs"/>
          <w:rtl/>
        </w:rPr>
        <w:t>أ: مؤسسات الحوزة الثقافية-التعليمية</w:t>
      </w:r>
      <w:bookmarkEnd w:id="20"/>
    </w:p>
    <w:p w:rsidR="00DA6CFB" w:rsidRPr="0092648A" w:rsidRDefault="00DA6CFB" w:rsidP="0092648A">
      <w:pPr>
        <w:widowControl w:val="0"/>
        <w:spacing w:line="216" w:lineRule="auto"/>
        <w:ind w:firstLine="284"/>
        <w:jc w:val="both"/>
        <w:rPr>
          <w:rStyle w:val="Char"/>
          <w:rtl/>
        </w:rPr>
      </w:pPr>
      <w:r w:rsidRPr="0092648A">
        <w:rPr>
          <w:rStyle w:val="Char"/>
          <w:rFonts w:hint="cs"/>
          <w:rtl/>
        </w:rPr>
        <w:t>دخول علماء الدين الفعَّال إلى المسرح السياسي للبلاد حتى سنة 1343 هـ.ش/1964م، عرّف طلاب العلوم الدينية الشباب وأهل الفضل في الحوزة - إلى حدٍّ ما - على التنظيم والتخطيط. والأهم من ذلك أنه طرح أمامهم موضوع الإصلاحات في الحوزة، وتنظيم وتربية القوى الفكرية، وإعداد الخطط الثقافية لأجل الدخول بشكل أكثر جدّيّةً في ساحة العمل [الاجتماعي-السياسي]. كانت إحدى الضرورات التي تم الإحساس بها لزوم تعلم طلاب العلوم الدينية للغة الإنجليزية واللغة الأردية كي يتمكنوا من الدعوة إلى الإسلام والتشيع وتبليغهما.</w:t>
      </w:r>
      <w:r w:rsidRPr="006E28E9">
        <w:rPr>
          <w:rStyle w:val="Char"/>
          <w:rFonts w:ascii="Arabic11 BT" w:hAnsi="Arabic11 BT" w:cs="Arabic11 BT"/>
          <w:vertAlign w:val="superscript"/>
          <w:rtl/>
        </w:rPr>
        <w:footnoteReference w:id="113"/>
      </w:r>
      <w:r w:rsidRPr="0092648A">
        <w:rPr>
          <w:rStyle w:val="Char"/>
          <w:rFonts w:hint="cs"/>
          <w:rtl/>
        </w:rPr>
        <w:t xml:space="preserve"> في سنة 1343 هـ.ش/1964م ذاتها أعلن بعض الفضلاء في الحوزة عن ضرورة القيام بإصلاحات في نظام الحوزة. وأعلن السيد ناصر مكارم الشيرازي، الذي كان يعطي دروسًا في العقائد في مدرسة الحجتية،</w:t>
      </w:r>
      <w:r w:rsidRPr="006E28E9">
        <w:rPr>
          <w:rStyle w:val="Char"/>
          <w:rFonts w:ascii="Arabic11 BT" w:hAnsi="Arabic11 BT" w:cs="Arabic11 BT"/>
          <w:vertAlign w:val="superscript"/>
          <w:rtl/>
        </w:rPr>
        <w:footnoteReference w:id="114"/>
      </w:r>
      <w:r w:rsidRPr="0092648A">
        <w:rPr>
          <w:rStyle w:val="Char"/>
          <w:rFonts w:hint="cs"/>
          <w:rtl/>
        </w:rPr>
        <w:t xml:space="preserve"> عن تأييده لذلك الطلب. عند ذلك طرح آية الله شريعتمداري لأول مرة فكرة دار التبليغ الإسلامية. كان إنشاء تلك الدار أملاً تم طرحه قبل ثلاثة عقود على الأقل والآن تهيأت الأرضية المناسبة للقيام </w:t>
      </w:r>
      <w:r w:rsidRPr="0092648A">
        <w:rPr>
          <w:rStyle w:val="Char"/>
          <w:rFonts w:hint="cs"/>
          <w:rtl/>
        </w:rPr>
        <w:lastRenderedPageBreak/>
        <w:t>به وسط معمعة المسائل السياسية العويصة والمعضلات الاختلافية التي وقعت في الحوزة حول كيفية مواجهة النظام.</w:t>
      </w:r>
    </w:p>
    <w:p w:rsidR="00DA6CFB" w:rsidRPr="00620316" w:rsidRDefault="00DA6CFB" w:rsidP="0092648A">
      <w:pPr>
        <w:pStyle w:val="2"/>
        <w:rPr>
          <w:rtl/>
        </w:rPr>
      </w:pPr>
      <w:bookmarkStart w:id="21" w:name="_Toc444083808"/>
      <w:r w:rsidRPr="00620316">
        <w:rPr>
          <w:rFonts w:hint="cs"/>
          <w:rtl/>
        </w:rPr>
        <w:t xml:space="preserve">1. </w:t>
      </w:r>
      <w:r>
        <w:rPr>
          <w:rFonts w:hint="cs"/>
          <w:rtl/>
        </w:rPr>
        <w:t xml:space="preserve">دار التبليغ </w:t>
      </w:r>
      <w:r w:rsidRPr="00FF432C">
        <w:rPr>
          <w:rFonts w:hint="cs"/>
          <w:rtl/>
        </w:rPr>
        <w:t>الإسلام</w:t>
      </w:r>
      <w:r>
        <w:rPr>
          <w:rFonts w:hint="cs"/>
          <w:rtl/>
        </w:rPr>
        <w:t>ي</w:t>
      </w:r>
      <w:bookmarkEnd w:id="21"/>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موضوع إنشاء مدرسة لتربية الدعاة من الآمال القديمة في طهران وقم، وعلى الأقل كُتِبَت عدة مقالات في هذا الموضوع في مجلة «آيين اسلام» [شريعة الإسلام] في عقد العشرينيات [أربعينيات القرن العشرين]. طُرح هذا الموضوع منذ زمن آية الله البروجردي أيضًا، وخاصةً - كما بيَّن ذلك السيد دواني - أنه بعد انتشار مجلة «مكتب اسلام» [مدرسة الإسلام]، بدأ الكلام عن تأسيس مثل هذه المدرسة كخطوة ثانية في طريق إحداث إصلاحٍ في البرامج التعليمية للحوزة. لكن أسبابًا معينةً حالت دون القيام بخطوة جدية لتنفيذ تلك الرغبة. بعد وفاة آية الله البروجردي، تابع أشخاص من حاشية السيد شريعتمداري، بمناسبة كونه المشرف على مجلة «مكتب اسلام»، ذلك المسعى الذي نال موافقته وتحقق بشكل تدريجي.</w:t>
      </w:r>
      <w:r w:rsidRPr="006E28E9">
        <w:rPr>
          <w:rStyle w:val="Char"/>
          <w:rFonts w:ascii="Arabic11 BT" w:hAnsi="Arabic11 BT" w:cs="Arabic11 BT"/>
          <w:vertAlign w:val="superscript"/>
          <w:rtl/>
        </w:rPr>
        <w:footnoteReference w:id="115"/>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بناءً على ذلك يجب أن نعتبر أن مجموعة من أعضاء هيئة التحرير في مجلة </w:t>
      </w:r>
      <w:r w:rsidRPr="0092648A">
        <w:rPr>
          <w:rStyle w:val="Char"/>
          <w:rFonts w:hint="eastAsia"/>
          <w:rtl/>
        </w:rPr>
        <w:t>«</w:t>
      </w:r>
      <w:r w:rsidRPr="0092648A">
        <w:rPr>
          <w:rStyle w:val="Char"/>
          <w:rFonts w:hint="cs"/>
          <w:rtl/>
        </w:rPr>
        <w:t>مكتب اسلام</w:t>
      </w:r>
      <w:r w:rsidRPr="0092648A">
        <w:rPr>
          <w:rStyle w:val="Char"/>
          <w:rFonts w:hint="eastAsia"/>
          <w:rtl/>
        </w:rPr>
        <w:t>»</w:t>
      </w:r>
      <w:r w:rsidRPr="0092648A">
        <w:rPr>
          <w:rStyle w:val="Char"/>
          <w:rFonts w:hint="cs"/>
          <w:rtl/>
        </w:rPr>
        <w:t xml:space="preserve"> [مدرسة الإسلام] مع آية الله شريعتمداري، هم أصحاب فكرة إيجاد دار التبليغ الإسلامي.</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بدأت هذه الفكرة بشكل جدي سنة 1343هـ.ش/1964م ووُضِع حجرُ الأساس لمبنى دار التبليغ في 11 ارديبهشت سنة 1343هـ.ش [الموافق لـ 1/5/1964]، وألقى كل من السيد دواني، وآية الله شريعتمداري كلمةً بهذه المناسبة، </w:t>
      </w:r>
      <w:r w:rsidRPr="006E28E9">
        <w:rPr>
          <w:rStyle w:val="Char"/>
          <w:rFonts w:ascii="Arabic11 BT" w:hAnsi="Arabic11 BT" w:cs="Arabic11 BT"/>
          <w:vertAlign w:val="superscript"/>
          <w:rtl/>
        </w:rPr>
        <w:footnoteReference w:id="116"/>
      </w:r>
      <w:r w:rsidRPr="0092648A">
        <w:rPr>
          <w:rStyle w:val="Char"/>
          <w:rFonts w:hint="cs"/>
          <w:rtl/>
        </w:rPr>
        <w:t xml:space="preserve"> وبعد ذلك تم افتتاح الدار رسميًّا في شهر مهر سنة 1344 هـ.ش [يوافق سبتمبر (أيلول) سنة 1965م] (ليس في الأرض التي كان من المقرر أن تبنى الدار فيها بل في مكان فندق إرم الذي كان من المقرر أن يصبح دارًا للسينما فاشترته دار التبليغ).</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الحوار الذي أجرته مجلة دار التبليغ مع السيد شريعتمداري (في عددها الثالث الصادر بتاريخ 16 شهريور 1343 هـ.ش = 7/9/1964م)، قال آية الله شريعتمداري مشيرًا إلى ضرورة وجود مركز لتربية الدعاة، بموازاة وجود مدارس لتربية المراجع والعلماء: «قبل ثلاث سنوات قرَّر المرحوم الحاج السيد رضا أخوي الذي كان من خيرة أهالي طهران أن يقف قطعتين واسعتين من الأرض </w:t>
      </w:r>
      <w:r w:rsidRPr="0092648A">
        <w:rPr>
          <w:rStyle w:val="Char"/>
          <w:rFonts w:hint="cs"/>
          <w:rtl/>
        </w:rPr>
        <w:lastRenderedPageBreak/>
        <w:t xml:space="preserve">التي يملكها والمعروفة ببستان رضائية والتي تقع بجوار ميدان فوزية ليقام عليهما مسجد ذا بناءً لائقٍ ولِتُشَيَّدَ فوقهما دارٌ للتبليغ، وأن يعهد إليّ بإدارة هذا المسجد وتلك الدار والإشراف عليهما.... ولكنني رأيت أنه لا يصح بَدْء مثل هذا العمل في طهران وحدها بل لابد أن توضع أسس هذا الأمر في مركز الحوزة العلمية [في قم]».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بناءً على ما سبق، فإن البدء بإعداد مقدمات بناء دار التبليغ تمَّ في الوقت الذي كان الإمام ما يزال موجودًا فيه في قم ولم يتم نفيه بعد، لكن قم كانت تعيش حالة غليان ثوري. ابتدأت مراسم الافتتاح في 15 مهر 1344هـ.ش (11 </w:t>
      </w:r>
      <w:r w:rsidRPr="0092648A">
        <w:rPr>
          <w:rStyle w:val="Char"/>
          <w:rtl/>
        </w:rPr>
        <w:t>جُمَادَى الآخِرَة</w:t>
      </w:r>
      <w:r w:rsidRPr="0092648A">
        <w:rPr>
          <w:rStyle w:val="Char"/>
          <w:rFonts w:hint="cs"/>
          <w:rtl/>
        </w:rPr>
        <w:t xml:space="preserve"> 1385هـ.ق)</w:t>
      </w:r>
      <w:r w:rsidRPr="006E28E9">
        <w:rPr>
          <w:rStyle w:val="Char"/>
          <w:rFonts w:ascii="Arabic11 BT" w:hAnsi="Arabic11 BT" w:cs="Arabic11 BT"/>
          <w:vertAlign w:val="superscript"/>
          <w:rtl/>
        </w:rPr>
        <w:footnoteReference w:id="117"/>
      </w:r>
      <w:r w:rsidRPr="0092648A">
        <w:rPr>
          <w:rStyle w:val="Char"/>
          <w:rFonts w:hint="cs"/>
          <w:rtl/>
        </w:rPr>
        <w:t xml:space="preserve"> [يوافق: 7/10/1965م] بكلمة ألقاها آية الله شريعتمداري ثم تكلَّم بعده السيد صدر البلاغي والسيد موسى الصدر (الذي كان وقتذاك مقيمًا في لبنان لكنه أتى في زيارةٍ إلى إيران).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طُبِعت نصوص الكلمات الثلاث في كُتَيِّب صغير بعنوان «مراسم افتتاح دار التبليغ الإسلامي في قم»، أشار السيد شريعتمداري في كلمته</w:t>
      </w:r>
      <w:r w:rsidRPr="006E28E9">
        <w:rPr>
          <w:rStyle w:val="Char"/>
          <w:rFonts w:ascii="Arabic11 BT" w:hAnsi="Arabic11 BT" w:cs="Arabic11 BT"/>
          <w:vertAlign w:val="superscript"/>
          <w:rtl/>
        </w:rPr>
        <w:footnoteReference w:id="118"/>
      </w:r>
      <w:r w:rsidRPr="0092648A">
        <w:rPr>
          <w:rStyle w:val="Char"/>
          <w:rFonts w:hint="cs"/>
          <w:rtl/>
        </w:rPr>
        <w:t xml:space="preserve"> إلى أن فكرة تأسيس دار التبليغ ليست فكرة حديثة، وأنه هو نفسه كان يفكر بهذا الأمر منذ ثلاثين إلى أربعين عامًا، ثم أشار إلى الدعوة التي يقوم بها المبشرون النصارى وكيفية نشاطهم الدعوي في العالم مُبَيِّنًا ضرورة وجود دارٍ للدعوة الإسلامية في مقابل ذلك، وكان مضمون كلمتَي صدر البلاغي والإمام موسى الصدر مشابهًا لمضمون كلمة السيد شريعتمداري. بعد ثلاثة أشهر وعندما أقام المرحوم شريعتمداري صلاة عيد الفطر في المدرسة الحجتية صعد صدر البلاغي المنبر وأثنى على تأسيس دار التبليغ.</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الذكرى السنوية الأولى لتأسيس دار التبليغ طُبِع العدد السابع من مجلة دار التبليغ تحت عنوان: </w:t>
      </w:r>
      <w:r w:rsidRPr="0092648A">
        <w:rPr>
          <w:rStyle w:val="Char"/>
          <w:rFonts w:hint="eastAsia"/>
          <w:rtl/>
        </w:rPr>
        <w:t>«م</w:t>
      </w:r>
      <w:r w:rsidRPr="0092648A">
        <w:rPr>
          <w:rStyle w:val="Char"/>
          <w:rFonts w:hint="cs"/>
          <w:rtl/>
        </w:rPr>
        <w:t>ا السبيل إلى إعادة المجد والسؤدد السابقَين [لهذه الأمة]؟</w:t>
      </w:r>
      <w:r w:rsidRPr="0092648A">
        <w:rPr>
          <w:rStyle w:val="Char"/>
          <w:rFonts w:hint="eastAsia"/>
          <w:rtl/>
        </w:rPr>
        <w:t>»</w:t>
      </w:r>
      <w:r w:rsidRPr="0092648A">
        <w:rPr>
          <w:rStyle w:val="Char"/>
          <w:rFonts w:hint="cs"/>
          <w:rtl/>
        </w:rPr>
        <w:t xml:space="preserve">، بدأت الدورة الأولى للدراسة في دار التبليغ بـ 125 طالبًا وضمت الدورة الثانية 145 طالبًا. تضمن المنهج الدارسي دراسة: نهج البلاغة، العقائد، تراجم علماء الإسلام، فن الكتابة، الأدب الفارسي، فن الخطابة، تاريخ الإسلام، علم الدراية وعلم الحديث، تفسير القرآن، الفقه وعلم الفلك. لم تكن تلك المواد جزءًا من المقررات الرسمية التي تُدرَّس في الحوزة. فيما يلي بيان الدروس الأولى التي بدأ تدريسها في دار التبليغ </w:t>
      </w:r>
      <w:r w:rsidRPr="0092648A">
        <w:rPr>
          <w:rStyle w:val="Char"/>
          <w:rFonts w:hint="cs"/>
          <w:rtl/>
        </w:rPr>
        <w:lastRenderedPageBreak/>
        <w:t>والأساتذة الذين تولَّوا تدريسها: أصول العقائد: جعفر السبحاني، الأخلاق: ناصر مكارم الشيرازي، دراسة الأديان: مكارم الشيرازي، تفسير القرآن: جعفر السبحاني، تاريخ الإسلام: صدر البلاغي، التراجم والسير: دواني، جغرافية العالم الإسلامي: عطاء الله عاملي، فن الكتابة: دواني، الفلسفة: مرتضى مطهري، فن الخطابة: صدر بلاغي، علم الدراية وعلم الحديث: السيد موسى الشبيري، نهج البلاغة: كرمى.</w:t>
      </w:r>
      <w:r w:rsidRPr="006E28E9">
        <w:rPr>
          <w:rStyle w:val="Char"/>
          <w:rFonts w:ascii="Arabic11 BT" w:hAnsi="Arabic11 BT" w:cs="Arabic11 BT"/>
          <w:vertAlign w:val="superscript"/>
          <w:rtl/>
        </w:rPr>
        <w:footnoteReference w:id="119"/>
      </w:r>
      <w:r w:rsidRPr="0092648A">
        <w:rPr>
          <w:rStyle w:val="Char"/>
          <w:rFonts w:hint="cs"/>
          <w:rtl/>
        </w:rPr>
        <w:t xml:space="preserve">  أخذت دار التبليغ في دورتها الأولى 80 متطوعًا وفي دورتها الثانية 120 متطوعًا للدراسة فيها، إضافةً إلى ذلك كان هناك أفراد يحضرون الدروس بصورة حرّة.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نظرًا إلى عدم تلبية السيد شريعتمداري التوقعات التي كان ينتظرها منه طلاب العلوم الدينية الثوريون خلال الأحداث السياسية التي جرت في الأعوام بين 1341- 1343هـ.ش [1962-1964م]، رغم أن علماء قم ومراجعها أيّدوا موقف الثائرين في تلك الأحداث، فإن أولئك الطلاب الثوريين نظروا إلى هذا المركز </w:t>
      </w:r>
      <w:r w:rsidRPr="001E6F94">
        <w:rPr>
          <w:rFonts w:cs="Times New Roman" w:hint="cs"/>
          <w:rtl/>
        </w:rPr>
        <w:t>–</w:t>
      </w:r>
      <w:r w:rsidRPr="0092648A">
        <w:rPr>
          <w:rStyle w:val="Char"/>
          <w:rFonts w:hint="cs"/>
          <w:rtl/>
        </w:rPr>
        <w:t xml:space="preserve"> أي دار التبليغ الإسلامي- الذي كان حسب الظاهر منفصلاً عن العمل السياسي ومهتمًّا فقط بالعمل الثقافي، بعين الشك والريبة ولم يرحبوا بإنشائه.</w:t>
      </w:r>
      <w:r w:rsidRPr="006E28E9">
        <w:rPr>
          <w:rStyle w:val="Char"/>
          <w:rFonts w:ascii="Arabic11 BT" w:hAnsi="Arabic11 BT" w:cs="Arabic11 BT"/>
          <w:vertAlign w:val="superscript"/>
          <w:rtl/>
        </w:rPr>
        <w:footnoteReference w:id="120"/>
      </w:r>
      <w:r w:rsidRPr="0092648A">
        <w:rPr>
          <w:rStyle w:val="Char"/>
          <w:rFonts w:hint="cs"/>
          <w:rtl/>
        </w:rPr>
        <w:t xml:space="preserve"> في الحقيقة لم يقتصر الأمر على عدم ترحيب الطلاب الثوريين بدار التبليغ، بل منذ البداية علت أصواتهم بالاعتراض على إنشاء هذه الدار، إلى درجة أن السيد فلسفي [الخطيب المشهور] الذي كان قد وعد بالمجيء إلى قم مرّةً في الأسبوع ليدرِّس مادة فن الخطابة، امتنع عن القدوم وأجَّل موضوع التدريس إلى إشعار آخر.</w:t>
      </w:r>
      <w:r w:rsidRPr="006E28E9">
        <w:rPr>
          <w:rStyle w:val="Char"/>
          <w:rFonts w:ascii="Arabic11 BT" w:hAnsi="Arabic11 BT" w:cs="Arabic11 BT"/>
          <w:vertAlign w:val="superscript"/>
          <w:rtl/>
        </w:rPr>
        <w:footnoteReference w:id="121"/>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أضف إلى ذلك أن إيجاد مثل هذا المركز الثقافي بكل ذلك الاتساع الذي يهدف إليه، ولاسيما الاهتمام بالأمور الدولية، كان يتطلَّب بالضرورة نوعًا من التوافق والتعامل مع الجهاز الأمني للنظام، وهذا أدى إلى محافظة رئاسة دار التبليغ، سواء تمثلت بالسيد شريعتمداري أو بأشخاص آخرين، على علاقة محدودة لهم مع النظام، وأن يقبل النظام العمل ببعض توصياتهم في بعض الأمور.</w:t>
      </w:r>
      <w:r w:rsidRPr="006E28E9">
        <w:rPr>
          <w:rStyle w:val="Char"/>
          <w:rFonts w:ascii="Arabic11 BT" w:hAnsi="Arabic11 BT" w:cs="Arabic11 BT"/>
          <w:vertAlign w:val="superscript"/>
          <w:rtl/>
        </w:rPr>
        <w:footnoteReference w:id="122"/>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تأسيس مثل هذا المركز، في خِضَمّ أحداث الثورة بالضبط، بمعزلٍ عن أن الأرض الموقوفة التي كان مُزْمَعَاً في البداية أن تُبنى دار التبليغ عليها كانت قد استؤجرت من حرم السيدة المعصومة [في قم] في الوقت الذي كان فيه الإمام [الخميني] مُعْتقلاً في طهران، أمرًا لا يمكن هضمه ولا تحمله بأي شكلٍ من الأشكال مِنْ قِبَلِ الطلاب الثوريين ولا حتى مِنْ قِبَلِ بعض الأفراد المستقلين غير الثوريين، وسبب ذلك، إضافةً إلى أن إنشاء مثل هذا المركز كان يقوم على نوع من الصلة والارتباط بنظام البهلوي، أن بعض الأشخاص كانوا يرون أن تأسيس مثل هذا المركز في تلك الظروف والأحوال التي كانت سائدة في قم والجو الذي كان سائدًا بين علماء الدين فيها، حيث نشأت بينهم حركةٌ ثوريةٌ قويةٌ وجدّيّةٌ ضد حكم الشاه محمد رضا بهلوي، يمثل نوعًا من حرف الأنظار عن مسيرة تلك الحركة الثورية.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كتب السيد دواني يقول: </w:t>
      </w:r>
      <w:r w:rsidRPr="0092648A">
        <w:rPr>
          <w:rStyle w:val="Char"/>
          <w:rFonts w:hint="eastAsia"/>
          <w:rtl/>
        </w:rPr>
        <w:t>«ب</w:t>
      </w:r>
      <w:r w:rsidRPr="0092648A">
        <w:rPr>
          <w:rStyle w:val="Char"/>
          <w:rFonts w:hint="cs"/>
          <w:rtl/>
        </w:rPr>
        <w:t xml:space="preserve">دأت أمواج الاتهامات والاعتراضات، وتعالت الأصوات التي تقول: إن السيد الخميني الآن معتقل في طهران، أو كانت تقول بعد إطلاق سراحه: إن محاربة </w:t>
      </w:r>
      <w:r w:rsidRPr="0092648A">
        <w:rPr>
          <w:rStyle w:val="Char"/>
          <w:rFonts w:hint="cs"/>
          <w:rtl/>
        </w:rPr>
        <w:lastRenderedPageBreak/>
        <w:t>السلطة ستتواصل وكل عمل آخر سيكون تخلّيًا عن مواصلة هذا الكفاح</w:t>
      </w:r>
      <w:r w:rsidRPr="0092648A">
        <w:rPr>
          <w:rStyle w:val="Char"/>
          <w:rFonts w:hint="eastAsia"/>
          <w:rtl/>
        </w:rPr>
        <w:t>»،</w:t>
      </w:r>
      <w:r w:rsidRPr="0092648A">
        <w:rPr>
          <w:rStyle w:val="Char"/>
          <w:rFonts w:hint="cs"/>
          <w:rtl/>
        </w:rPr>
        <w:t xml:space="preserve"> وينقل السيد طالقاني عن الطلاب الثوريين قولهم: «لما كنا في السجن كان الذين يأتون إلينا ونسألهم عما يحدث في الخارج يقولون: لقد قام السيد شريعتمداري بإنشاء معهد باسم دار التبليغ وصار عائقًا في أمام طريق الثورة والنضال وسبيلاً للصدّ عنه».</w:t>
      </w:r>
      <w:r w:rsidRPr="006E28E9">
        <w:rPr>
          <w:rStyle w:val="Char"/>
          <w:rFonts w:ascii="Arabic11 BT" w:hAnsi="Arabic11 BT" w:cs="Arabic11 BT"/>
          <w:vertAlign w:val="superscript"/>
          <w:rtl/>
        </w:rPr>
        <w:footnoteReference w:id="123"/>
      </w:r>
    </w:p>
    <w:p w:rsidR="00DA6CFB" w:rsidRPr="0092648A" w:rsidRDefault="00DA6CFB" w:rsidP="0092648A">
      <w:pPr>
        <w:widowControl w:val="0"/>
        <w:spacing w:line="216" w:lineRule="auto"/>
        <w:ind w:firstLine="284"/>
        <w:jc w:val="both"/>
        <w:rPr>
          <w:rStyle w:val="Char"/>
          <w:rtl/>
        </w:rPr>
      </w:pPr>
      <w:r w:rsidRPr="0092648A">
        <w:rPr>
          <w:rStyle w:val="Char"/>
          <w:rFonts w:hint="cs"/>
          <w:rtl/>
        </w:rPr>
        <w:t>لم يكن هناك أي شك في أن الطلاب الثوريين لم يكونوا على صلة طيبة بهذه الدار، كما قيل إن الإمام نفسه أيضًا لم يكن بينه وبين هذه الدار أي صلة طيبة، وقد تكلم كل من الشيخ جعفر السبحاني والشيخ مكارم الشيرازي والسيد دواني مع الإمام في هذا الصدد، فقال لهم لا تنقلوا عني شيئًا حول هذا الموضوع لا إيجابيًّا ولا سلبيًّا، لكنني إذا لاحظت أن هذه الدار مرتبطة بمكانٍ ما فسآمر بنزع الأحجار التي بُنِيَت بها.</w:t>
      </w:r>
      <w:r w:rsidRPr="006E28E9">
        <w:rPr>
          <w:rStyle w:val="Char"/>
          <w:rFonts w:ascii="Arabic11 BT" w:hAnsi="Arabic11 BT" w:cs="Arabic11 BT"/>
          <w:vertAlign w:val="superscript"/>
          <w:rtl/>
        </w:rPr>
        <w:footnoteReference w:id="124"/>
      </w:r>
      <w:r w:rsidRPr="0092648A">
        <w:rPr>
          <w:rStyle w:val="Char"/>
          <w:rFonts w:hint="cs"/>
          <w:rtl/>
        </w:rPr>
        <w:t xml:space="preserve"> وكتب الشيخ سبحاني رسالةً إلى الإمام حول هذا الموضوع لكن يبدو أنها لم تُـجْدِ نفعًا. </w:t>
      </w:r>
    </w:p>
    <w:p w:rsidR="00DA6CFB" w:rsidRPr="0092648A" w:rsidRDefault="00DA6CFB" w:rsidP="0092648A">
      <w:pPr>
        <w:widowControl w:val="0"/>
        <w:spacing w:line="216" w:lineRule="auto"/>
        <w:ind w:firstLine="284"/>
        <w:jc w:val="both"/>
        <w:rPr>
          <w:rStyle w:val="Char"/>
          <w:rtl/>
        </w:rPr>
      </w:pPr>
      <w:r w:rsidRPr="0092648A">
        <w:rPr>
          <w:rStyle w:val="Char"/>
          <w:rFonts w:hint="cs"/>
          <w:rtl/>
        </w:rPr>
        <w:t>يقدم لنا السيد دواني توضيحات كافية حول معركة الآراء التي أثارها إنشاء دار التبليغ في الحوزة</w:t>
      </w:r>
      <w:r w:rsidRPr="006E28E9">
        <w:rPr>
          <w:rStyle w:val="Char"/>
          <w:rFonts w:ascii="Arabic11 BT" w:hAnsi="Arabic11 BT" w:cs="Arabic11 BT"/>
          <w:vertAlign w:val="superscript"/>
          <w:rtl/>
        </w:rPr>
        <w:footnoteReference w:id="125"/>
      </w:r>
      <w:r w:rsidRPr="0092648A">
        <w:rPr>
          <w:rStyle w:val="Char"/>
          <w:rFonts w:hint="cs"/>
          <w:rtl/>
        </w:rPr>
        <w:t xml:space="preserve"> بين موافق ومخالف ومعترض ومؤيد، فقد كتب يقول: «حتى سنة 1350هـ.ش/ 1971م، التي كنت فيها في الحوزة، وجَّه كثيرون طعنًا قاسيًا جدًّا إلى شخص السيد شريعتمداري بسبب إنشائه لدار التبليغ وحتى بسبب تأسيسه لمجلة </w:t>
      </w:r>
      <w:r w:rsidRPr="0092648A">
        <w:rPr>
          <w:rStyle w:val="Char"/>
          <w:rFonts w:hint="eastAsia"/>
          <w:rtl/>
        </w:rPr>
        <w:t>«م</w:t>
      </w:r>
      <w:r w:rsidRPr="0092648A">
        <w:rPr>
          <w:rStyle w:val="Char"/>
          <w:rFonts w:hint="cs"/>
          <w:rtl/>
        </w:rPr>
        <w:t>كتب سلام</w:t>
      </w:r>
      <w:r w:rsidRPr="0092648A">
        <w:rPr>
          <w:rStyle w:val="Char"/>
          <w:rFonts w:hint="eastAsia"/>
          <w:rtl/>
        </w:rPr>
        <w:t>»</w:t>
      </w:r>
      <w:r w:rsidRPr="0092648A">
        <w:rPr>
          <w:rStyle w:val="Char"/>
          <w:rFonts w:hint="cs"/>
          <w:rtl/>
        </w:rPr>
        <w:t xml:space="preserve">، وكنموذج على ذلك ما جاء في كُتَيّب صغير باسم </w:t>
      </w:r>
      <w:r w:rsidRPr="0092648A">
        <w:rPr>
          <w:rStyle w:val="Char"/>
          <w:rFonts w:hint="eastAsia"/>
          <w:rtl/>
        </w:rPr>
        <w:t>«ا</w:t>
      </w:r>
      <w:r w:rsidRPr="0092648A">
        <w:rPr>
          <w:rStyle w:val="Char"/>
          <w:rFonts w:hint="cs"/>
          <w:rtl/>
        </w:rPr>
        <w:t>لبعثة</w:t>
      </w:r>
      <w:r w:rsidRPr="0092648A">
        <w:rPr>
          <w:rStyle w:val="Char"/>
          <w:rFonts w:hint="eastAsia"/>
          <w:rtl/>
        </w:rPr>
        <w:t xml:space="preserve">» </w:t>
      </w:r>
      <w:r w:rsidRPr="0092648A">
        <w:rPr>
          <w:rStyle w:val="Char"/>
          <w:rFonts w:hint="cs"/>
          <w:rtl/>
        </w:rPr>
        <w:t>الذي نشره بعض الأشخاص بصورة سرية».</w:t>
      </w:r>
      <w:r w:rsidRPr="006E28E9">
        <w:rPr>
          <w:rStyle w:val="Char"/>
          <w:rFonts w:ascii="Arabic11 BT" w:hAnsi="Arabic11 BT" w:cs="Arabic11 BT"/>
          <w:vertAlign w:val="superscript"/>
          <w:rtl/>
        </w:rPr>
        <w:footnoteReference w:id="126"/>
      </w:r>
    </w:p>
    <w:p w:rsidR="00DA6CFB" w:rsidRPr="0092648A" w:rsidRDefault="00DA6CFB" w:rsidP="0092648A">
      <w:pPr>
        <w:widowControl w:val="0"/>
        <w:spacing w:line="216" w:lineRule="auto"/>
        <w:ind w:firstLine="284"/>
        <w:jc w:val="both"/>
        <w:rPr>
          <w:rStyle w:val="Char"/>
          <w:rtl/>
        </w:rPr>
      </w:pPr>
      <w:r w:rsidRPr="0092648A">
        <w:rPr>
          <w:rStyle w:val="Char"/>
          <w:rFonts w:hint="cs"/>
          <w:rtl/>
        </w:rPr>
        <w:t>إحدى الوثائق المثيرة للانتباه والمتعلقة بهذا الموضوع رسالةٌ خاصةٌ كتبها الشيخ علي المشكيني إلى الإمام ووقعت بيد جهاز السافاك.</w:t>
      </w:r>
      <w:r w:rsidRPr="006E28E9">
        <w:rPr>
          <w:rStyle w:val="Char"/>
          <w:rFonts w:ascii="Arabic11 BT" w:hAnsi="Arabic11 BT" w:cs="Arabic11 BT"/>
          <w:vertAlign w:val="superscript"/>
          <w:rtl/>
        </w:rPr>
        <w:footnoteReference w:id="127"/>
      </w:r>
      <w:r w:rsidRPr="0092648A">
        <w:rPr>
          <w:rStyle w:val="Char"/>
          <w:rFonts w:hint="cs"/>
          <w:rtl/>
        </w:rPr>
        <w:t xml:space="preserve"> في هذه الرسالة وبعد تعبير المشكيني عن حبه للإمام، أعرب عن قلقة البالغ حيال النزاع والاختلاف الذي ثار بشأن موضوع دار التبليغ، واعتبر أن ضرر ذلك الاختلاف لا يقل عن الضرر الذي كان آيت الله الخميني يراه في وجود دولة البهلوي وخطرها على مستقبل الإسلام.</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xml:space="preserve">في هذه الرسالة اعتبر الشيخ المشكيني أن العامل الأساسي في إثارة هذا الاختلاف هو الدعاية الخبيثة للنظام وقال: </w:t>
      </w:r>
      <w:r w:rsidRPr="0092648A">
        <w:rPr>
          <w:rStyle w:val="Char"/>
          <w:rFonts w:hint="eastAsia"/>
          <w:rtl/>
        </w:rPr>
        <w:t>«ل</w:t>
      </w:r>
      <w:r w:rsidRPr="0092648A">
        <w:rPr>
          <w:rStyle w:val="Char"/>
          <w:rFonts w:hint="cs"/>
          <w:rtl/>
        </w:rPr>
        <w:t>قد أوعز النظام إلى كُتَّاب الصحف وأشخاصًا آخرين أن يثنوا على دار التبليغ ويعربوا عن تأييدهم لها واستطاعوا بذلك أن يوجدوا سوء الظن بها في ذهن آيت الله الخميني ويجعلوه قلقًا حيالها</w:t>
      </w:r>
      <w:r w:rsidRPr="0092648A">
        <w:rPr>
          <w:rStyle w:val="Char"/>
          <w:rFonts w:hint="eastAsia"/>
          <w:rtl/>
        </w:rPr>
        <w:t>»،</w:t>
      </w:r>
      <w:r w:rsidRPr="0092648A">
        <w:rPr>
          <w:rStyle w:val="Char"/>
          <w:rFonts w:hint="cs"/>
          <w:rtl/>
        </w:rPr>
        <w:t xml:space="preserve"> ثم أكد المشكيني قائلاً: </w:t>
      </w:r>
      <w:r w:rsidRPr="0092648A">
        <w:rPr>
          <w:rStyle w:val="Char"/>
          <w:rFonts w:hint="eastAsia"/>
          <w:rtl/>
        </w:rPr>
        <w:t>«س</w:t>
      </w:r>
      <w:r w:rsidRPr="0092648A">
        <w:rPr>
          <w:rStyle w:val="Char"/>
          <w:rFonts w:hint="cs"/>
          <w:rtl/>
        </w:rPr>
        <w:t>يدي! أنا ومئات من أمثالي فِداك وفداء لمن هم أمثالك</w:t>
      </w:r>
      <w:r w:rsidRPr="0092648A">
        <w:rPr>
          <w:rStyle w:val="Char"/>
          <w:rFonts w:hint="eastAsia"/>
          <w:rtl/>
        </w:rPr>
        <w:t>»</w:t>
      </w:r>
      <w:r w:rsidRPr="0092648A">
        <w:rPr>
          <w:rStyle w:val="Char"/>
          <w:rFonts w:hint="cs"/>
          <w:rtl/>
        </w:rPr>
        <w:t xml:space="preserve"> في إشارة منه إلى أيام فرحه بأن العلماء كان يصدرون بيانات سياسية يوقع عليها 9 أشخاص أو 5 أشخاص فقط، وقال: «إن كنتم تريدون أن تهزّ بياناتكم السياسية الناس من جديد فالأفضل إغلاق باب الاختلاف حول هذا الموضوع»، وعلى كل حال اعتبر المشكيني أن أدلة الامام حول مفاسد دار التبليغ وأنها تتضمن أسبابًا خطيرة، ليست أدلّةً مقنعةً.</w:t>
      </w:r>
      <w:r w:rsidRPr="006E28E9">
        <w:rPr>
          <w:rStyle w:val="Char"/>
          <w:rFonts w:ascii="Arabic11 BT" w:hAnsi="Arabic11 BT" w:cs="Arabic11 BT"/>
          <w:vertAlign w:val="superscript"/>
          <w:rtl/>
        </w:rPr>
        <w:footnoteReference w:id="12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وأيًّا كان الأمر، فقد قال بعضهم إن سبب معارضة الإمام لدار التبليغ </w:t>
      </w:r>
      <w:r w:rsidRPr="001E6F94">
        <w:rPr>
          <w:rFonts w:cs="Times New Roman" w:hint="cs"/>
          <w:rtl/>
        </w:rPr>
        <w:t>–</w:t>
      </w:r>
      <w:r w:rsidRPr="0092648A">
        <w:rPr>
          <w:rStyle w:val="Char"/>
          <w:rFonts w:hint="cs"/>
          <w:rtl/>
        </w:rPr>
        <w:t xml:space="preserve"> من حيث المبدأ </w:t>
      </w:r>
      <w:r w:rsidRPr="001E6F94">
        <w:rPr>
          <w:rFonts w:cs="Times New Roman" w:hint="cs"/>
          <w:rtl/>
        </w:rPr>
        <w:t>–</w:t>
      </w:r>
      <w:r w:rsidRPr="0092648A">
        <w:rPr>
          <w:rStyle w:val="Char"/>
          <w:rFonts w:hint="cs"/>
          <w:rtl/>
        </w:rPr>
        <w:t xml:space="preserve"> هو أنه عندما اصطدم بعض الناس بنظام الشاه واشتبكوا معه وهم في حالة نضال ضده، فإن </w:t>
      </w:r>
      <w:r w:rsidRPr="0092648A">
        <w:rPr>
          <w:rStyle w:val="Char"/>
          <w:rFonts w:hint="eastAsia"/>
          <w:rtl/>
        </w:rPr>
        <w:t>«ط</w:t>
      </w:r>
      <w:r w:rsidRPr="0092648A">
        <w:rPr>
          <w:rStyle w:val="Char"/>
          <w:rFonts w:hint="cs"/>
          <w:rtl/>
        </w:rPr>
        <w:t>رح مسألة أننا نريد تربية دعاة سيؤدي إلى شَغْلِ أفكار عديد من الناس بهذا الأمر</w:t>
      </w:r>
      <w:r w:rsidRPr="0092648A">
        <w:rPr>
          <w:rStyle w:val="Char"/>
          <w:rFonts w:hint="eastAsia"/>
          <w:rtl/>
        </w:rPr>
        <w:t>».</w:t>
      </w:r>
      <w:r w:rsidRPr="006E28E9">
        <w:rPr>
          <w:rStyle w:val="Char"/>
          <w:rFonts w:ascii="Arabic11 BT" w:hAnsi="Arabic11 BT" w:cs="Arabic11 BT"/>
          <w:vertAlign w:val="superscript"/>
          <w:rtl/>
        </w:rPr>
        <w:footnoteReference w:id="129"/>
      </w:r>
      <w:r w:rsidRPr="0092648A">
        <w:rPr>
          <w:rStyle w:val="Char"/>
          <w:rFonts w:hint="cs"/>
          <w:rtl/>
        </w:rPr>
        <w:t xml:space="preserve"> وهذا ينطبق بعينه على الموقف من جماعة الحجتية، غاية ما في الأمر أن دار التبليغ قسمت الحوزة إلى قسمين: ثوري وغير ثوري، وأوقعت الخلاف بين المراجع، في حين أنه قبل إنشاء هذه الدار لم يكن الأمر كذلك.</w:t>
      </w:r>
      <w:r w:rsidRPr="006E28E9">
        <w:rPr>
          <w:rStyle w:val="Char"/>
          <w:rFonts w:ascii="Arabic11 BT" w:hAnsi="Arabic11 BT" w:cs="Arabic11 BT"/>
          <w:vertAlign w:val="superscript"/>
          <w:rtl/>
        </w:rPr>
        <w:footnoteReference w:id="130"/>
      </w:r>
      <w:r w:rsidRPr="0092648A">
        <w:rPr>
          <w:rStyle w:val="Char"/>
          <w:rFonts w:hint="cs"/>
          <w:rtl/>
        </w:rPr>
        <w:t xml:space="preserve"> يقول </w:t>
      </w:r>
      <w:r w:rsidRPr="0092648A">
        <w:rPr>
          <w:rStyle w:val="Char"/>
          <w:rFonts w:hint="cs"/>
          <w:rtl/>
        </w:rPr>
        <w:lastRenderedPageBreak/>
        <w:t xml:space="preserve">السيد دعائي: </w:t>
      </w:r>
      <w:r w:rsidRPr="0092648A">
        <w:rPr>
          <w:rStyle w:val="Char"/>
          <w:rFonts w:hint="eastAsia"/>
          <w:rtl/>
        </w:rPr>
        <w:t>«</w:t>
      </w:r>
      <w:r w:rsidRPr="0092648A">
        <w:rPr>
          <w:rStyle w:val="Char"/>
          <w:rFonts w:hint="cs"/>
          <w:rtl/>
        </w:rPr>
        <w:t>عندما قام السيد شريعتمداري بتأسيس دار التبليغ الإسلامي في قم، كنا نعتبر هذا المكان عائقًا في وجه محاربة النظام ومخالفًا لطريق الإمام».</w:t>
      </w:r>
      <w:r w:rsidRPr="006E28E9">
        <w:rPr>
          <w:rStyle w:val="Char"/>
          <w:rFonts w:ascii="Arabic11 BT" w:hAnsi="Arabic11 BT" w:cs="Arabic11 BT"/>
          <w:vertAlign w:val="superscript"/>
          <w:rtl/>
        </w:rPr>
        <w:footnoteReference w:id="131"/>
      </w:r>
      <w:r w:rsidRPr="0092648A">
        <w:rPr>
          <w:rStyle w:val="Char"/>
          <w:rFonts w:hint="cs"/>
          <w:rtl/>
        </w:rPr>
        <w:t xml:space="preserve"> </w:t>
      </w:r>
    </w:p>
    <w:p w:rsidR="00DA6CFB" w:rsidRPr="00E4364C" w:rsidRDefault="00DA6CFB" w:rsidP="0092648A">
      <w:pPr>
        <w:widowControl w:val="0"/>
        <w:spacing w:line="216" w:lineRule="auto"/>
        <w:ind w:firstLine="284"/>
        <w:jc w:val="both"/>
        <w:rPr>
          <w:rStyle w:val="Char"/>
          <w:spacing w:val="-2"/>
          <w:rtl/>
        </w:rPr>
      </w:pPr>
      <w:r w:rsidRPr="00E4364C">
        <w:rPr>
          <w:rStyle w:val="Char"/>
          <w:rFonts w:hint="cs"/>
          <w:spacing w:val="-2"/>
          <w:rtl/>
        </w:rPr>
        <w:t xml:space="preserve">ويقول السيد خزعلي في مذكراته: </w:t>
      </w:r>
      <w:r w:rsidRPr="00E4364C">
        <w:rPr>
          <w:rStyle w:val="Char"/>
          <w:rFonts w:hint="eastAsia"/>
          <w:spacing w:val="-2"/>
          <w:rtl/>
        </w:rPr>
        <w:t>«ف</w:t>
      </w:r>
      <w:r w:rsidRPr="00E4364C">
        <w:rPr>
          <w:rStyle w:val="Char"/>
          <w:rFonts w:hint="cs"/>
          <w:spacing w:val="-2"/>
          <w:rtl/>
        </w:rPr>
        <w:t xml:space="preserve">ي ذلك الوقت ناداني الإمام وقال لي: إن السيد شريعتمداري يريد أن تواصل دار التبليغ نشاطاتها، وأنا لست معترضًا بالطبع على دار التبليغ ذاتها، لكن حقيقة الأمر هي أن إدارة هذه المؤسسة تتم بنحوٍ ينشئ انحرافًا في [وسط الحوزة]؛ لذا لابد أن تتوقف هذه الدار عن العمل، اذهب وكلمِّ شريعتمداري، فذهبتُ [أي السيد خزعلي] ورجعت 9 مرات بين ذانك </w:t>
      </w:r>
      <w:r w:rsidRPr="00E4364C">
        <w:rPr>
          <w:rStyle w:val="Char"/>
          <w:rFonts w:hint="cs"/>
          <w:spacing w:val="-2"/>
          <w:rtl/>
        </w:rPr>
        <w:lastRenderedPageBreak/>
        <w:t>الشخصيتين، واستغرقت تلك الزيارات المكوكية ما مجموعه 19 ساعة كنت خلالها أنقل رسالة كل طرف إلى الطرف الآخر. كان السيد شريعتمداري يصر على أنه لابد من مواصلة إدارة دار التبليغ طبقًا لرسالة الوقف الخاصة بها». ويضيف السيد خزعلي قائلاً: «</w:t>
      </w:r>
      <w:r w:rsidRPr="00E4364C">
        <w:rPr>
          <w:rStyle w:val="Char"/>
          <w:rFonts w:hint="eastAsia"/>
          <w:spacing w:val="-2"/>
          <w:rtl/>
        </w:rPr>
        <w:t>ق</w:t>
      </w:r>
      <w:r w:rsidRPr="00E4364C">
        <w:rPr>
          <w:rStyle w:val="Char"/>
          <w:rFonts w:hint="cs"/>
          <w:spacing w:val="-2"/>
          <w:rtl/>
        </w:rPr>
        <w:t>ال السيد شريعتمداري: "أنا سأذهب وألتقي بالسيد الخميني فإن قال إنه لابد من إنهاء دار التبليغ وإغلاقها، فأنا مستعد لإيقافها وإغلاقها". وعندما أوصلتُ رسالته هذه إلى الإمام، أبدى الإمام تعاطفه وتقديره وقال: لا، ما أريده ليس إلى هذا الحد، وفي نهاية المطاف ذهب السيد شريعتمداري إلى لقاء الإمام، ولكنه بقي مصرًّا على مواصلة دار التبليغ لعملها، بعد ذلك عندما اعترضت على السيد شريعتمداري وقلت له: ألم تقل لو قال لي السيد الخميني أغلِق هذه الدار وأوقف عملها فستغلقها وتوقف عملها؟ قال: "بلى، ولكنني رأيت فيما بعد أنه من غير الصحيح أن أفعل ذلك"، وبالطبع ازداد الخلاف بينهما واشتدَّ».</w:t>
      </w:r>
      <w:r w:rsidRPr="00E4364C">
        <w:rPr>
          <w:rStyle w:val="Char"/>
          <w:rFonts w:ascii="Arabic11 BT" w:hAnsi="Arabic11 BT" w:cs="Arabic11 BT"/>
          <w:spacing w:val="-2"/>
          <w:vertAlign w:val="superscript"/>
          <w:rtl/>
        </w:rPr>
        <w:footnoteReference w:id="132"/>
      </w:r>
    </w:p>
    <w:p w:rsidR="00DA6CFB" w:rsidRPr="00E4364C" w:rsidRDefault="00DA6CFB" w:rsidP="00E4364C">
      <w:pPr>
        <w:widowControl w:val="0"/>
        <w:spacing w:line="216" w:lineRule="auto"/>
        <w:ind w:firstLine="284"/>
        <w:jc w:val="both"/>
        <w:rPr>
          <w:rStyle w:val="Char"/>
          <w:spacing w:val="-2"/>
          <w:rtl/>
        </w:rPr>
      </w:pPr>
      <w:r w:rsidRPr="00E4364C">
        <w:rPr>
          <w:rStyle w:val="Char"/>
          <w:rFonts w:hint="cs"/>
          <w:spacing w:val="-2"/>
          <w:rtl/>
        </w:rPr>
        <w:t xml:space="preserve">ودخل آية الله القمي على خط هذا الخلاف والنزاع أيضًا. كتب آية الله خامنئي في حاشيته على ما ذكرتُه حول هذا الموضوع يقول: </w:t>
      </w:r>
      <w:r w:rsidRPr="00E4364C">
        <w:rPr>
          <w:rStyle w:val="Char"/>
          <w:rFonts w:hint="eastAsia"/>
          <w:spacing w:val="-2"/>
          <w:rtl/>
        </w:rPr>
        <w:t>«ك</w:t>
      </w:r>
      <w:r w:rsidRPr="00E4364C">
        <w:rPr>
          <w:rStyle w:val="Char"/>
          <w:rFonts w:hint="cs"/>
          <w:spacing w:val="-2"/>
          <w:rtl/>
        </w:rPr>
        <w:t>ان الإمام معارضًا بشدة لإطلاق هذا المركز وكان لديه دلائل عديدة على موقفه هذا. حوالي صيف عام 1343هـ.ش [1964م] كنت في مدينة مشهد، وكان الاختلاف بين الإمام والسيد شريعتمداري قد اشتدّ حول هذا الموضوع وانتشر خبره في كل مكان. في تلك الأثناء طلب السيد القمي مني أن أذهب إلى قم وألتقي بكليهما واستمع لدلائل كل منهما حول هذا الأمر، ذهبت أولاً إلى الإمام وأبلغته رسالة السيد القمي له، فتكلم بكل هدوء وبالٍ طويل وبالتفصيل حول هذا الموضوع وذكر ست أو سبع أدلة على الأضرار التي ستنجم عن طرح دار التبليغ في الظروف الحالية، وكانت دلائله كلها منطقية في نظري، بعد ذلك ذهبتُ إلى السيد شريعتمداري وأوصلت له رسالة السيد القمي ولقائي بالإمام والأدلة التي ذكرها الإمام على موقفه هذا، فقال السيد شريعتمداري إجابةً عن تلك الدلائل: "</w:t>
      </w:r>
      <w:r w:rsidRPr="00E4364C">
        <w:rPr>
          <w:rStyle w:val="Char"/>
          <w:rFonts w:hint="eastAsia"/>
          <w:spacing w:val="-2"/>
          <w:rtl/>
        </w:rPr>
        <w:t>ه</w:t>
      </w:r>
      <w:r w:rsidRPr="00E4364C">
        <w:rPr>
          <w:rStyle w:val="Char"/>
          <w:rFonts w:hint="cs"/>
          <w:spacing w:val="-2"/>
          <w:rtl/>
        </w:rPr>
        <w:t>ذه كلها تخيلات"، ثم بدأ بالشكاية من اتّهامه باتهامات غير صحيحة، وتلا هذه الآية:</w:t>
      </w:r>
      <w:r w:rsidR="00924380" w:rsidRPr="00E4364C">
        <w:rPr>
          <w:rStyle w:val="Char"/>
          <w:rFonts w:hint="cs"/>
          <w:spacing w:val="-2"/>
          <w:rtl/>
        </w:rPr>
        <w:t xml:space="preserve"> </w:t>
      </w:r>
      <w:r w:rsidR="00924380" w:rsidRPr="00E4364C">
        <w:rPr>
          <w:rStyle w:val="Char"/>
          <w:rFonts w:cs="CTraditional Arabic" w:hint="cs"/>
          <w:spacing w:val="-2"/>
          <w:rtl/>
        </w:rPr>
        <w:t>﴿</w:t>
      </w:r>
      <w:r w:rsidR="00E4364C" w:rsidRPr="00E4364C">
        <w:rPr>
          <w:rStyle w:val="Char1"/>
          <w:rFonts w:hint="cs"/>
          <w:spacing w:val="-2"/>
          <w:rtl/>
        </w:rPr>
        <w:t>تَكَادُ</w:t>
      </w:r>
      <w:r w:rsidR="00E4364C" w:rsidRPr="00E4364C">
        <w:rPr>
          <w:rStyle w:val="Char1"/>
          <w:spacing w:val="-2"/>
          <w:rtl/>
        </w:rPr>
        <w:t xml:space="preserve"> </w:t>
      </w:r>
      <w:r w:rsidR="00E4364C" w:rsidRPr="00E4364C">
        <w:rPr>
          <w:rStyle w:val="Char1"/>
          <w:rFonts w:hint="cs"/>
          <w:spacing w:val="-2"/>
          <w:rtl/>
        </w:rPr>
        <w:t>ٱلسَّمَٰوَٰتُ</w:t>
      </w:r>
      <w:r w:rsidR="00E4364C" w:rsidRPr="00E4364C">
        <w:rPr>
          <w:rStyle w:val="Char1"/>
          <w:spacing w:val="-2"/>
          <w:rtl/>
        </w:rPr>
        <w:t xml:space="preserve"> </w:t>
      </w:r>
      <w:r w:rsidR="00E4364C" w:rsidRPr="00E4364C">
        <w:rPr>
          <w:rStyle w:val="Char1"/>
          <w:rFonts w:hint="cs"/>
          <w:spacing w:val="-2"/>
          <w:rtl/>
        </w:rPr>
        <w:t>يَتَفَطَّرۡنَ</w:t>
      </w:r>
      <w:r w:rsidR="00E4364C" w:rsidRPr="00E4364C">
        <w:rPr>
          <w:rStyle w:val="Char1"/>
          <w:spacing w:val="-2"/>
          <w:rtl/>
        </w:rPr>
        <w:t xml:space="preserve"> </w:t>
      </w:r>
      <w:r w:rsidR="00E4364C" w:rsidRPr="00E4364C">
        <w:rPr>
          <w:rStyle w:val="Char1"/>
          <w:rFonts w:hint="cs"/>
          <w:spacing w:val="-2"/>
          <w:rtl/>
        </w:rPr>
        <w:t>مِنۡهُ</w:t>
      </w:r>
      <w:r w:rsidR="00E4364C" w:rsidRPr="00E4364C">
        <w:rPr>
          <w:rStyle w:val="Char1"/>
          <w:spacing w:val="-2"/>
          <w:rtl/>
        </w:rPr>
        <w:t xml:space="preserve"> </w:t>
      </w:r>
      <w:r w:rsidR="00E4364C" w:rsidRPr="00E4364C">
        <w:rPr>
          <w:rStyle w:val="Char1"/>
          <w:rFonts w:hint="cs"/>
          <w:spacing w:val="-2"/>
          <w:rtl/>
        </w:rPr>
        <w:t>وَتَنشَقُّ</w:t>
      </w:r>
      <w:r w:rsidR="00E4364C" w:rsidRPr="00E4364C">
        <w:rPr>
          <w:rStyle w:val="Char1"/>
          <w:spacing w:val="-2"/>
          <w:rtl/>
        </w:rPr>
        <w:t xml:space="preserve"> </w:t>
      </w:r>
      <w:r w:rsidR="00E4364C" w:rsidRPr="00E4364C">
        <w:rPr>
          <w:rStyle w:val="Char1"/>
          <w:rFonts w:hint="cs"/>
          <w:spacing w:val="-2"/>
          <w:rtl/>
        </w:rPr>
        <w:t>ٱلۡأَرۡضُ</w:t>
      </w:r>
      <w:r w:rsidR="00E4364C" w:rsidRPr="00E4364C">
        <w:rPr>
          <w:rStyle w:val="Char1"/>
          <w:spacing w:val="-2"/>
          <w:rtl/>
        </w:rPr>
        <w:t xml:space="preserve"> </w:t>
      </w:r>
      <w:r w:rsidR="00E4364C" w:rsidRPr="00E4364C">
        <w:rPr>
          <w:rStyle w:val="Char1"/>
          <w:rFonts w:hint="cs"/>
          <w:spacing w:val="-2"/>
          <w:rtl/>
        </w:rPr>
        <w:t>وَتَخِرُّ</w:t>
      </w:r>
      <w:r w:rsidR="00E4364C" w:rsidRPr="00E4364C">
        <w:rPr>
          <w:rStyle w:val="Char1"/>
          <w:spacing w:val="-2"/>
          <w:rtl/>
        </w:rPr>
        <w:t xml:space="preserve"> </w:t>
      </w:r>
      <w:r w:rsidR="00E4364C" w:rsidRPr="00E4364C">
        <w:rPr>
          <w:rStyle w:val="Char1"/>
          <w:rFonts w:hint="cs"/>
          <w:spacing w:val="-2"/>
          <w:rtl/>
        </w:rPr>
        <w:t>ٱلۡجِبَالُ</w:t>
      </w:r>
      <w:r w:rsidR="00E4364C" w:rsidRPr="00E4364C">
        <w:rPr>
          <w:rStyle w:val="Char1"/>
          <w:spacing w:val="-2"/>
          <w:rtl/>
        </w:rPr>
        <w:t xml:space="preserve"> </w:t>
      </w:r>
      <w:r w:rsidR="00E4364C" w:rsidRPr="00E4364C">
        <w:rPr>
          <w:rStyle w:val="Char1"/>
          <w:rFonts w:hint="cs"/>
          <w:spacing w:val="-2"/>
          <w:rtl/>
        </w:rPr>
        <w:t>هَدًّا</w:t>
      </w:r>
      <w:r w:rsidR="00E4364C" w:rsidRPr="00E4364C">
        <w:rPr>
          <w:rStyle w:val="Char1"/>
          <w:spacing w:val="-2"/>
          <w:rtl/>
        </w:rPr>
        <w:t xml:space="preserve"> </w:t>
      </w:r>
      <w:r w:rsidR="00E4364C" w:rsidRPr="00E4364C">
        <w:rPr>
          <w:rStyle w:val="Char1"/>
          <w:rFonts w:hint="cs"/>
          <w:spacing w:val="-2"/>
          <w:rtl/>
        </w:rPr>
        <w:t>٩٠</w:t>
      </w:r>
      <w:r w:rsidR="00924380" w:rsidRPr="00E4364C">
        <w:rPr>
          <w:rStyle w:val="Char"/>
          <w:rFonts w:ascii="Traditional Arabic" w:hAnsi="Traditional Arabic" w:cs="Traditional Arabic"/>
          <w:spacing w:val="-2"/>
          <w:rtl/>
        </w:rPr>
        <w:t>﴾</w:t>
      </w:r>
      <w:r w:rsidRPr="00E4364C">
        <w:rPr>
          <w:rStyle w:val="Char"/>
          <w:rFonts w:hint="cs"/>
          <w:spacing w:val="-2"/>
          <w:rtl/>
        </w:rPr>
        <w:t xml:space="preserve"> فقلت له على الفور:</w:t>
      </w:r>
      <w:r w:rsidR="00E4364C" w:rsidRPr="00E4364C">
        <w:rPr>
          <w:rStyle w:val="Char"/>
          <w:rFonts w:hint="cs"/>
          <w:spacing w:val="-2"/>
          <w:rtl/>
        </w:rPr>
        <w:t xml:space="preserve"> </w:t>
      </w:r>
      <w:r w:rsidR="00E4364C" w:rsidRPr="00E4364C">
        <w:rPr>
          <w:rStyle w:val="Char"/>
          <w:rFonts w:cs="CTraditional Arabic" w:hint="cs"/>
          <w:spacing w:val="-2"/>
          <w:rtl/>
        </w:rPr>
        <w:t>﴿</w:t>
      </w:r>
      <w:r w:rsidR="00E4364C" w:rsidRPr="00E4364C">
        <w:rPr>
          <w:rStyle w:val="Char1"/>
          <w:rFonts w:hint="cs"/>
          <w:spacing w:val="-2"/>
          <w:rtl/>
        </w:rPr>
        <w:t>أَن</w:t>
      </w:r>
      <w:r w:rsidR="00E4364C" w:rsidRPr="00E4364C">
        <w:rPr>
          <w:rStyle w:val="Char1"/>
          <w:spacing w:val="-2"/>
          <w:rtl/>
        </w:rPr>
        <w:t xml:space="preserve"> </w:t>
      </w:r>
      <w:r w:rsidR="00E4364C" w:rsidRPr="00E4364C">
        <w:rPr>
          <w:rStyle w:val="Char1"/>
          <w:rFonts w:hint="cs"/>
          <w:spacing w:val="-2"/>
          <w:rtl/>
        </w:rPr>
        <w:t>دَعَوۡاْ</w:t>
      </w:r>
      <w:r w:rsidR="00E4364C" w:rsidRPr="00E4364C">
        <w:rPr>
          <w:rStyle w:val="Char1"/>
          <w:spacing w:val="-2"/>
          <w:rtl/>
        </w:rPr>
        <w:t xml:space="preserve"> </w:t>
      </w:r>
      <w:r w:rsidR="00E4364C" w:rsidRPr="00E4364C">
        <w:rPr>
          <w:rStyle w:val="Char1"/>
          <w:rFonts w:hint="cs"/>
          <w:spacing w:val="-2"/>
          <w:rtl/>
        </w:rPr>
        <w:t>لِلرَّحۡمَٰنِ</w:t>
      </w:r>
      <w:r w:rsidR="00E4364C" w:rsidRPr="00E4364C">
        <w:rPr>
          <w:rStyle w:val="Char1"/>
          <w:spacing w:val="-2"/>
          <w:rtl/>
        </w:rPr>
        <w:t xml:space="preserve"> </w:t>
      </w:r>
      <w:r w:rsidR="00E4364C" w:rsidRPr="00E4364C">
        <w:rPr>
          <w:rStyle w:val="Char1"/>
          <w:rFonts w:hint="cs"/>
          <w:spacing w:val="-2"/>
          <w:rtl/>
        </w:rPr>
        <w:t>وَلَدٗا</w:t>
      </w:r>
      <w:r w:rsidR="00E4364C" w:rsidRPr="00E4364C">
        <w:rPr>
          <w:rStyle w:val="Char1"/>
          <w:spacing w:val="-2"/>
          <w:rtl/>
        </w:rPr>
        <w:t xml:space="preserve"> </w:t>
      </w:r>
      <w:r w:rsidR="00E4364C" w:rsidRPr="00E4364C">
        <w:rPr>
          <w:rStyle w:val="Char1"/>
          <w:rFonts w:hint="cs"/>
          <w:spacing w:val="-2"/>
          <w:rtl/>
        </w:rPr>
        <w:t>٩١</w:t>
      </w:r>
      <w:r w:rsidR="00E4364C" w:rsidRPr="00E4364C">
        <w:rPr>
          <w:rStyle w:val="Char"/>
          <w:rFonts w:ascii="Traditional Arabic" w:hAnsi="Traditional Arabic" w:cs="Traditional Arabic"/>
          <w:spacing w:val="-2"/>
          <w:rtl/>
        </w:rPr>
        <w:t>﴾</w:t>
      </w:r>
      <w:r w:rsidRPr="00E4364C">
        <w:rPr>
          <w:rStyle w:val="Char"/>
          <w:rFonts w:hint="cs"/>
          <w:spacing w:val="-2"/>
          <w:rtl/>
        </w:rPr>
        <w:t xml:space="preserve">  </w:t>
      </w:r>
      <w:r w:rsidRPr="00E4364C">
        <w:rPr>
          <w:rStyle w:val="Char3"/>
          <w:rFonts w:hint="cs"/>
          <w:spacing w:val="-2"/>
          <w:rtl/>
        </w:rPr>
        <w:t>[مريم: 90 - 91]</w:t>
      </w:r>
      <w:r w:rsidRPr="00E4364C">
        <w:rPr>
          <w:rStyle w:val="Char"/>
          <w:rFonts w:hint="cs"/>
          <w:spacing w:val="-2"/>
          <w:rtl/>
        </w:rPr>
        <w:t>، فغضب إلى حدٍّ ما من تعريضي بهذه الجملة بأنه يبالغ في كلامه..... وعدتُ إلى مشهد دون أن استفيد شيئًا [من هذه المحاولة لحل الاختلاف]</w:t>
      </w:r>
      <w:r w:rsidRPr="00E4364C">
        <w:rPr>
          <w:rStyle w:val="Char"/>
          <w:rFonts w:hint="eastAsia"/>
          <w:spacing w:val="-2"/>
          <w:rtl/>
        </w:rPr>
        <w:t>»،</w:t>
      </w:r>
      <w:r w:rsidRPr="00E4364C">
        <w:rPr>
          <w:rStyle w:val="Char"/>
          <w:rFonts w:hint="cs"/>
          <w:spacing w:val="-2"/>
          <w:rtl/>
        </w:rPr>
        <w:t xml:space="preserve"> وهذا يدل على أن الإمام كان مصرًّا جدًّا على هذا الموضوع.</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xml:space="preserve">وكتب السيد جعفر سبحاني </w:t>
      </w:r>
      <w:r w:rsidRPr="00F9658E">
        <w:rPr>
          <w:rFonts w:cs="Times New Roman" w:hint="cs"/>
          <w:rtl/>
        </w:rPr>
        <w:t>–</w:t>
      </w:r>
      <w:r w:rsidRPr="0092648A">
        <w:rPr>
          <w:rStyle w:val="Char"/>
          <w:rFonts w:hint="cs"/>
          <w:rtl/>
        </w:rPr>
        <w:t xml:space="preserve"> الذي كان من تلاميذ الإمام المقرّبين، وفي الوقت ذاته من المتعاونين مع دار التبليغ فيما بعد </w:t>
      </w:r>
      <w:r w:rsidRPr="00F9658E">
        <w:rPr>
          <w:rFonts w:cs="Times New Roman" w:hint="cs"/>
          <w:rtl/>
        </w:rPr>
        <w:t>–</w:t>
      </w:r>
      <w:r w:rsidRPr="0092648A">
        <w:rPr>
          <w:rStyle w:val="Char"/>
          <w:rFonts w:hint="cs"/>
          <w:rtl/>
        </w:rPr>
        <w:t xml:space="preserve"> رسالةً إلى الإمام في أواخر سنة 1343هـ.ش [1965م] عندما اشتدت الاختلافات حول موضوع دار التبليغ وبلغت ذروتها، وتحدث فيها للإمام عن التوهمات الموجودة حول هذه المؤسسة التعليمية، لكن رسالته بقيت دون إجابة أو ردّ.</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يقول السيد جعفري كيلاني- من الطلاب الثوريين في تلك الفترة الزمنية - </w:t>
      </w:r>
      <w:r w:rsidRPr="0092648A">
        <w:rPr>
          <w:rStyle w:val="Char"/>
          <w:rFonts w:hint="eastAsia"/>
          <w:rtl/>
        </w:rPr>
        <w:t>«ك</w:t>
      </w:r>
      <w:r w:rsidRPr="0092648A">
        <w:rPr>
          <w:rStyle w:val="Char"/>
          <w:rFonts w:hint="cs"/>
          <w:rtl/>
        </w:rPr>
        <w:t>ان الشيخ محمد منتظري أول من حمل لواء محاربة دار التبليغ ومعارضتها</w:t>
      </w:r>
      <w:r w:rsidRPr="0092648A">
        <w:rPr>
          <w:rStyle w:val="Char"/>
          <w:rFonts w:hint="eastAsia"/>
          <w:rtl/>
        </w:rPr>
        <w:t>»</w:t>
      </w:r>
      <w:r w:rsidRPr="006E28E9">
        <w:rPr>
          <w:rStyle w:val="Char"/>
          <w:rFonts w:ascii="Arabic11 BT" w:hAnsi="Arabic11 BT" w:cs="Arabic11 BT"/>
          <w:vertAlign w:val="superscript"/>
          <w:rtl/>
        </w:rPr>
        <w:footnoteReference w:id="133"/>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وأيد </w:t>
      </w:r>
      <w:r w:rsidRPr="0092648A">
        <w:rPr>
          <w:rStyle w:val="Char"/>
          <w:rFonts w:hint="eastAsia"/>
          <w:rtl/>
        </w:rPr>
        <w:t>«د</w:t>
      </w:r>
      <w:r w:rsidRPr="0092648A">
        <w:rPr>
          <w:rStyle w:val="Char"/>
          <w:rFonts w:hint="cs"/>
          <w:rtl/>
        </w:rPr>
        <w:t>ّرى نجف آبادي» أيضًا هذه النقطة وقال إن الشهيد محمد منتظري ومهدي هاشمي أصدرا بيانًا (منشورًا) ضد دار التبليغ وقاما بتوزيعه</w:t>
      </w:r>
      <w:r w:rsidRPr="006E28E9">
        <w:rPr>
          <w:rStyle w:val="Char"/>
          <w:rFonts w:ascii="Arabic11 BT" w:hAnsi="Arabic11 BT" w:cs="Arabic11 BT"/>
          <w:vertAlign w:val="superscript"/>
          <w:rtl/>
        </w:rPr>
        <w:footnoteReference w:id="134"/>
      </w:r>
      <w:r w:rsidRPr="0092648A">
        <w:rPr>
          <w:rStyle w:val="Char"/>
          <w:rFonts w:hint="cs"/>
          <w:rtl/>
        </w:rPr>
        <w:t>، واستمر الاختلاف حول دار التبليغ وسرى إلى داخل السجون فوقع بين السيد محمد جواد حجتي والسيد رباني الشيرازي خلاف حول هذا الموضوع [داخل السجن]؛ لأن المرحوم رباني الشيرازي، انطلاقًا من محبته للإمام وإخلاصه له، اتخذ أيضًا موقفًا معاديًا من دار التبليغ والسيد شريعتمداري.</w:t>
      </w:r>
      <w:r w:rsidRPr="006E28E9">
        <w:rPr>
          <w:rStyle w:val="Char"/>
          <w:rFonts w:ascii="Arabic11 BT" w:hAnsi="Arabic11 BT" w:cs="Arabic11 BT"/>
          <w:vertAlign w:val="superscript"/>
          <w:rtl/>
        </w:rPr>
        <w:footnoteReference w:id="135"/>
      </w:r>
    </w:p>
    <w:p w:rsidR="00DA6CFB" w:rsidRPr="0092648A" w:rsidRDefault="00DA6CFB" w:rsidP="0092648A">
      <w:pPr>
        <w:widowControl w:val="0"/>
        <w:spacing w:line="216" w:lineRule="auto"/>
        <w:ind w:firstLine="284"/>
        <w:jc w:val="both"/>
        <w:rPr>
          <w:rStyle w:val="Char"/>
          <w:rtl/>
        </w:rPr>
      </w:pPr>
      <w:r w:rsidRPr="0092648A">
        <w:rPr>
          <w:rStyle w:val="Char"/>
          <w:rFonts w:hint="cs"/>
          <w:rtl/>
        </w:rPr>
        <w:t>ليس هناك أدنى شك أن الإمام كان سيء الظن بدار التبليغ. ينقل السيد جعفري گيلاني عن الإمام قوله: "الآن لا أشعر بالخطر من هذه الناحية، لو شعرت بالخطر فسأقوم بهدم دار التبليغ بأيدي الطلاب [أي طلاب العلوم الدينية]، وستصبح كل حجرة من أحجار بنائها بيد طالب من الطلبة!"</w:t>
      </w:r>
      <w:r w:rsidRPr="006E28E9">
        <w:rPr>
          <w:rStyle w:val="Char"/>
          <w:rFonts w:ascii="Arabic11 BT" w:hAnsi="Arabic11 BT" w:cs="Arabic11 BT"/>
          <w:vertAlign w:val="superscript"/>
          <w:rtl/>
        </w:rPr>
        <w:footnoteReference w:id="136"/>
      </w:r>
      <w:r w:rsidRPr="0092648A">
        <w:rPr>
          <w:rStyle w:val="Char"/>
          <w:rFonts w:hint="cs"/>
          <w:rtl/>
        </w:rPr>
        <w:t xml:space="preserve"> كما يروي ذكرى عن وساطة قام بها العلامة [محمد حسين] الطباطبائي بين الإمام والمرحوم شريعتمداري، ويبدو أن الإمام كان قد أراد أن يقوم شريعتمداري بتغيير اسم دار التبليغ، إن كان لا يقصد فعلاً من هذا الدار ما يريده جهاز الحكم، لكن هذه الوساطة لم تحقق شيئًا.</w:t>
      </w:r>
      <w:r w:rsidRPr="006E28E9">
        <w:rPr>
          <w:rStyle w:val="Char"/>
          <w:rFonts w:ascii="Arabic11 BT" w:hAnsi="Arabic11 BT" w:cs="Arabic11 BT"/>
          <w:vertAlign w:val="superscript"/>
          <w:rtl/>
        </w:rPr>
        <w:footnoteReference w:id="137"/>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لآية الله الميلاني دور مهم في وقائع النضال والكفاح في السنوات من 1341هـ.ش [1962م] فما بعد، وقد تحسس من مسألة دار التبليغ هذه، وسأل السيد شريعتمداري عن هذا الموضوع، فذكر السيد شريعتمداري - في ثنايا رسالة مفصلة كتبها له حول بيان السبب في عدم </w:t>
      </w:r>
      <w:r w:rsidRPr="0092648A">
        <w:rPr>
          <w:rStyle w:val="Char"/>
          <w:rFonts w:hint="cs"/>
          <w:rtl/>
        </w:rPr>
        <w:lastRenderedPageBreak/>
        <w:t xml:space="preserve">توقيعه على البيان السياسي المشترك للعلماء- بعضَ الإيضحات حول دار التبليغ أيضًا، كان هذا متعلقًا </w:t>
      </w:r>
      <w:r w:rsidRPr="00F9658E">
        <w:rPr>
          <w:rFonts w:cs="Times New Roman" w:hint="cs"/>
          <w:rtl/>
        </w:rPr>
        <w:t>–</w:t>
      </w:r>
      <w:r w:rsidRPr="0092648A">
        <w:rPr>
          <w:rStyle w:val="Char"/>
          <w:rFonts w:hint="cs"/>
          <w:rtl/>
        </w:rPr>
        <w:t xml:space="preserve"> حسب الظاهر- ببدايات الموضوع، قال: </w:t>
      </w:r>
      <w:r w:rsidRPr="0092648A">
        <w:rPr>
          <w:rStyle w:val="Char"/>
          <w:rFonts w:hint="eastAsia"/>
          <w:rtl/>
        </w:rPr>
        <w:t>«ب</w:t>
      </w:r>
      <w:r w:rsidRPr="0092648A">
        <w:rPr>
          <w:rStyle w:val="Char"/>
          <w:rFonts w:hint="cs"/>
          <w:rtl/>
        </w:rPr>
        <w:t>النسبة إلى مدرسة دار التبليغ التي ننوي إنشاءها في قم، فعلة ذلك أنه كان قد تم وقف قطعة أرض في طهران قبل حوالي 4 سنوات ليتم بناء مسجد ودار التبليغ عليها، ووضع الواقف تلك الأرض تحت تصرفي، وتقرر أن يبدأ البناء في تلك الأرض، لكنني لاحظت أنه لو لم يتم بناء هذا المركز في قم، فمن الممكن للحكومة أن تتمكن من اختراقه وبسط نفوذها فيه، لذا حدّدنا مكاناً لهذا المركز في قم، فإذا توفرت لنا الإمكانيات اللازمة فسوف نقوم ببناء هذا المركز، والمقصود من هذا المركز تربية عدد من الدُّعاة الكفوئين القادرين على القيام بأعباء الدعوة والتبليغ. متن برنامج هذا المركز هو الكتاب والسنّة، ولو احتاج بعض الدعاة إلى بعض العلوم فسيتم تدريسها في الحاشية [أي كمواد ثانوية جانبيّة].»</w:t>
      </w:r>
      <w:r w:rsidRPr="006E28E9">
        <w:rPr>
          <w:rStyle w:val="Char"/>
          <w:rFonts w:ascii="Arabic11 BT" w:hAnsi="Arabic11 BT" w:cs="Arabic11 BT"/>
          <w:vertAlign w:val="superscript"/>
          <w:rtl/>
        </w:rPr>
        <w:footnoteReference w:id="138"/>
      </w:r>
    </w:p>
    <w:p w:rsidR="00DA6CFB" w:rsidRPr="0092648A" w:rsidRDefault="00DA6CFB" w:rsidP="0092648A">
      <w:pPr>
        <w:widowControl w:val="0"/>
        <w:spacing w:line="216" w:lineRule="auto"/>
        <w:ind w:firstLine="284"/>
        <w:jc w:val="both"/>
        <w:rPr>
          <w:rStyle w:val="Char"/>
          <w:rtl/>
        </w:rPr>
      </w:pPr>
      <w:r w:rsidRPr="0092648A">
        <w:rPr>
          <w:rStyle w:val="Char"/>
          <w:rFonts w:hint="cs"/>
          <w:rtl/>
        </w:rPr>
        <w:t>وجاء في هذه الرسالة ذاتها، أنه بمجرد الانتهاء من إعداد المنهاج الدراسي سيتم إرساله إلى آيت الله الميلاني، وأشار السيد شريعتمداري في رسالة أخرى له أيضًا إلى هذا الموضوع وذكر الاعتراضات التي يثيرها بعض المحيطين بالإمام وأفراد حاشيته، ضد هذا الموضوع.</w:t>
      </w:r>
      <w:r w:rsidRPr="006E28E9">
        <w:rPr>
          <w:rStyle w:val="Char"/>
          <w:rFonts w:ascii="Arabic11 BT" w:hAnsi="Arabic11 BT" w:cs="Arabic11 BT"/>
          <w:vertAlign w:val="superscript"/>
          <w:rtl/>
        </w:rPr>
        <w:footnoteReference w:id="139"/>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اشتدَّ الاختلافُ حول هذا الموضوع وتصاعد بسرعة. كان أحد الأفراد الذين بذلوا مساعي شديدة في هذا الأمر </w:t>
      </w:r>
      <w:r w:rsidRPr="008C7124">
        <w:rPr>
          <w:rStyle w:val="Char7"/>
          <w:rFonts w:hint="cs"/>
          <w:rtl/>
        </w:rPr>
        <w:t>المرحوم رباني الشيرازي</w:t>
      </w:r>
      <w:r w:rsidRPr="0092648A">
        <w:rPr>
          <w:rStyle w:val="Char"/>
          <w:rFonts w:hint="cs"/>
          <w:rtl/>
        </w:rPr>
        <w:t xml:space="preserve">، الذي كتب </w:t>
      </w:r>
      <w:r w:rsidRPr="00F9658E">
        <w:rPr>
          <w:rFonts w:cs="Times New Roman" w:hint="cs"/>
          <w:rtl/>
        </w:rPr>
        <w:t>–</w:t>
      </w:r>
      <w:r w:rsidRPr="0092648A">
        <w:rPr>
          <w:rStyle w:val="Char"/>
          <w:rFonts w:hint="cs"/>
          <w:rtl/>
        </w:rPr>
        <w:t xml:space="preserve"> لحسن الحظ- تقريرًا عن عمله في هذا المجال، ضمن رسالة كتبها لآية الله الميلاني، إذْ قال مشيرًا إلى الوضع السيء الذي نشأ بسبب هذا الموضوع: </w:t>
      </w:r>
      <w:r w:rsidRPr="0092648A">
        <w:rPr>
          <w:rStyle w:val="Char"/>
          <w:rFonts w:hint="eastAsia"/>
          <w:rtl/>
        </w:rPr>
        <w:t>«ل</w:t>
      </w:r>
      <w:r w:rsidRPr="0092648A">
        <w:rPr>
          <w:rStyle w:val="Char"/>
          <w:rFonts w:hint="cs"/>
          <w:rtl/>
        </w:rPr>
        <w:t xml:space="preserve">قد حاول هذا العبد الفقير منذ الصيف أن أجد حّلاً لهذا الموضوع وقد اجتمعت عدة اجتماعات مع طرفي النزاع وتكلمت معهما في الأمر ولكنني لم أستطع التوصل إلى أي نتيجة مفيدة. إلى أن عاد حضرة العلامة الطباطبائي فحاورته في هذا الشأن وعرضت عليه وجهة نظري حول ضرورة الإصلاح بين الطرفين، فأعجبه موقفي واقترحه على السادة، لكن ذلك أيضًا لم يجد نفعًا، إلى أن قمت في النهاية باقتراح خطة من عشرة بنود على السيد الطباطبائي بعد عدة جلسات واجتماعات عقدتها معه، وتمت الموافقة على إحداث تعديل في عشرة موارد، وتقرر أن أقوم أنا </w:t>
      </w:r>
      <w:r w:rsidRPr="00F9658E">
        <w:rPr>
          <w:rFonts w:cs="Times New Roman" w:hint="cs"/>
          <w:rtl/>
        </w:rPr>
        <w:t>–</w:t>
      </w:r>
      <w:r w:rsidRPr="0092648A">
        <w:rPr>
          <w:rStyle w:val="Char"/>
          <w:rFonts w:hint="cs"/>
          <w:rtl/>
        </w:rPr>
        <w:t xml:space="preserve"> العبد الفقير- والأصدقاء أخذ موافقة آية الله العظمى الخميني عليها، ويقوم هو بعرضها على السيد شريعتمداري وأخذ موافقته عليها. وقال العلامة الطباطبائي إني متأكد بدرجة تسعين في المئة أنني سأنال موافقته، </w:t>
      </w:r>
      <w:r w:rsidRPr="0092648A">
        <w:rPr>
          <w:rStyle w:val="Char"/>
          <w:rFonts w:hint="cs"/>
          <w:rtl/>
        </w:rPr>
        <w:lastRenderedPageBreak/>
        <w:t>ولكن، مع الأسف، قبل أن نذهب إلى السيد شريعتمداري، تردد الإمام بشأن هذا الموضوع ورأى أن الطرح الذي طرحناه لايلبي نظرته للمسألة. لا أدري ما الذي حدث؟ والآن هو يتابع ذلك الطرح الذي طرحناه.</w:t>
      </w:r>
    </w:p>
    <w:p w:rsidR="00DA6CFB" w:rsidRPr="0092648A" w:rsidRDefault="00DA6CFB" w:rsidP="0092648A">
      <w:pPr>
        <w:widowControl w:val="0"/>
        <w:spacing w:line="216" w:lineRule="auto"/>
        <w:ind w:firstLine="284"/>
        <w:jc w:val="both"/>
        <w:rPr>
          <w:rStyle w:val="Char"/>
          <w:rtl/>
        </w:rPr>
      </w:pPr>
      <w:r w:rsidRPr="0092648A">
        <w:rPr>
          <w:rStyle w:val="Char"/>
          <w:rFonts w:hint="cs"/>
          <w:rtl/>
        </w:rPr>
        <w:t>بعد ذلك أرسل آية الله رباني الشيرازي خطته المؤلفة من عشرة بنود لحل الموضوع وإصلاح الحوزة إلى السيد الميلاني.  في هذه الخطة تم تقسيم الحوزة إلى قسمين: قسم الفقه، وقسم الدعوة، ووضعت لكلٍّ من القسمين مناهج تعليمية خاصة وامتحانات خاصة، وبالطبع يستطيع شريعتمداري أن يسكن بعض الطلاب في مدرسته وأن يضع لهم برامج دراسية معينة، لكن شريعتمداري لم يقبل هذه الخطة التي تضمنت نوعًا من الإصلاح الكلي الشامل للحوزة.</w:t>
      </w:r>
      <w:r w:rsidRPr="006E28E9">
        <w:rPr>
          <w:rStyle w:val="Char"/>
          <w:rFonts w:ascii="Arabic11 BT" w:hAnsi="Arabic11 BT" w:cs="Arabic11 BT"/>
          <w:vertAlign w:val="superscript"/>
          <w:rtl/>
        </w:rPr>
        <w:footnoteReference w:id="140"/>
      </w:r>
      <w:r w:rsidRPr="0092648A">
        <w:rPr>
          <w:rStyle w:val="Char"/>
          <w:rFonts w:hint="cs"/>
          <w:rtl/>
        </w:rPr>
        <w:t xml:space="preserve">  </w:t>
      </w:r>
      <w:r w:rsidRPr="0092648A">
        <w:rPr>
          <w:rStyle w:val="Char"/>
          <w:rFonts w:hint="cs"/>
          <w:rtl/>
        </w:rPr>
        <w:tab/>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 لدينا أيضًا رسالة كتبها العلامة الطباطبائي وأرسلها إلى صديقه الحميم آية الله الميلاني وتحدَّث له فيها عن الاختلاف حول مسألة دار التبليغ واعتبرها من مسائل الحوزة المعضلة، وقال «لم نستطع حتى الآن أن نجد لها حلاً نهائيًّا» وأضاف يقول: «أغلب من تدخَّل في هذه القضية، كانوا في قلبهم مع السيد شريعتمداري في هذه المسألة ويؤيدون موقفه، حتى لو لم يعلنوا ذلك ظاهرًا، وكانوا يرَون أن حجج السيد الخميني غير مقنعة. الأسبوع الماضي شرَّف السيد أنكجي إلى قم والتقى الاثنين وشاركتُ في بعض تلك اللقاءات. لم يستطع أن يصل إلى أي نتيجة». وفي بقية الرسالة حديث عن تواصل تلك المفاوضات.</w:t>
      </w:r>
      <w:r w:rsidRPr="006E28E9">
        <w:rPr>
          <w:rStyle w:val="Char"/>
          <w:rFonts w:ascii="Arabic11 BT" w:hAnsi="Arabic11 BT" w:cs="Arabic11 BT"/>
          <w:vertAlign w:val="superscript"/>
          <w:rtl/>
        </w:rPr>
        <w:footnoteReference w:id="141"/>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هذه الرسالة تشابه ذلك الأمر الذي مر معنا سابقاً في رسالة آية الله رباني الشيرازي إلى آية الله الميلاني وجاء فيها نص الاقتراح ذي البنود العشرة لحل الاختلاف بشأن دار التبليغ.  </w:t>
      </w:r>
    </w:p>
    <w:p w:rsidR="00DA6CFB" w:rsidRPr="0092648A" w:rsidRDefault="00DA6CFB" w:rsidP="0092648A">
      <w:pPr>
        <w:widowControl w:val="0"/>
        <w:spacing w:line="216" w:lineRule="auto"/>
        <w:ind w:firstLine="284"/>
        <w:jc w:val="both"/>
        <w:rPr>
          <w:rStyle w:val="Char"/>
          <w:rtl/>
        </w:rPr>
      </w:pPr>
      <w:r w:rsidRPr="0092648A">
        <w:rPr>
          <w:rStyle w:val="Char"/>
          <w:rFonts w:hint="cs"/>
          <w:rtl/>
        </w:rPr>
        <w:t>رغم التعاون الحذر للسيد مطهري مع دار التبليغ إلا أنه كتب بعد ذلك رسالةً إلى آية الله شريعتمداري ذكر فيها بعض الانتقادات وقال من جملة ما قاله إنه كان من اللازم ألا يتم إنشاء دار التبليغ في ذلك الوقت بل تأخير إحداثها مُدَّةً من الزمن.</w:t>
      </w:r>
      <w:r w:rsidRPr="006E28E9">
        <w:rPr>
          <w:rStyle w:val="Char"/>
          <w:rFonts w:ascii="Arabic11 BT" w:hAnsi="Arabic11 BT" w:cs="Arabic11 BT"/>
          <w:vertAlign w:val="superscript"/>
          <w:rtl/>
        </w:rPr>
        <w:footnoteReference w:id="142"/>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السيد هادي خسروشاهي من نشطاء دار التبليغ ومسؤوليها على مدى سنوات، وقد كتب </w:t>
      </w:r>
      <w:r w:rsidRPr="0092648A">
        <w:rPr>
          <w:rStyle w:val="Char"/>
          <w:rFonts w:hint="cs"/>
          <w:rtl/>
        </w:rPr>
        <w:lastRenderedPageBreak/>
        <w:t>قائلاً: «أصل الشبهة بشأن دار التبليغ نشأ بسبب الحوار الذي أدلى به السيد عبد الرحيم عقيقي بخشايشي لمجلة «مهد آزادي» [مهد الحرية] التي كان السيد إسماعيل پيمان مدير تحريرها (كان إسماعيل پيمان في السابق طالبًا للعلوم الدينية وكان من تلاميذ المرحوم شريعتمداري)، إذْ أعلن السيد عبد الرحيم عقيقي بخشايشي في حواره ذاك أنه سيتم افتتاح جامعة إسلامية في قم. ولما كان هذا التعبير مشابهًا للموضوع الذي كان النظام يسعى إليه، أوجد ذلك شبهة لدى الثوريين بأن الخطة والهدف من هذه المؤسسة هي خطة وسياسة الشاه ذاتها.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الضروري التذكير بأن وزارة الثقافة كانت تسعى سنة 1334 هـ.ش/1955م إلى إيجاد مؤسسة للوعظ والدعوة والتبليغ تواصل عمل مؤسسة الوعظ والخطابة التي أنشئت زمن رضا خان. وقد نشرت مجلة «آيين اسلام» [شريعة الإسلام]، سنة 1334 هـ.ش/1955م، العدد 18 - 19 (ص20 - 21) مقالةً من جزأين حول هذا الموضوع. كان الأساتذة الذين تقرر أن يقوموا بالتدريس في تلك المؤسسة هم: حبيب الله آموزگار، جمال أخوي آريان پور، تقي زاده، راشد، صدر الأشراف، الشيخ محمد عبده، العلامة وحيد، الدكتور فريد، الميرزا خليل كمرئي، الحاج المحقق ومحمود نجم آبادي. وقد أعد جهاز الأمن والمخابرات (السافاك) في مشهد بالتعاون مع إدارة المشهد الرضوي المقدس خطة تتعلق بالدين في فروردين 1337 هـ.ش/1958م.</w:t>
      </w:r>
      <w:r w:rsidRPr="006E28E9">
        <w:rPr>
          <w:rStyle w:val="Char"/>
          <w:rFonts w:ascii="Arabic11 BT" w:hAnsi="Arabic11 BT" w:cs="Arabic11 BT"/>
          <w:vertAlign w:val="superscript"/>
          <w:rtl/>
        </w:rPr>
        <w:footnoteReference w:id="143"/>
      </w:r>
      <w:r w:rsidRPr="0092648A">
        <w:rPr>
          <w:rStyle w:val="Char"/>
          <w:rFonts w:hint="cs"/>
          <w:rtl/>
        </w:rPr>
        <w:t xml:space="preserve"> وقد تقرَّر - طبقًا لهذه الخطة - أن يُفْتَتَح في كلية المعقول والمنقول في مشهد قسم الوعظ والتبليغ. وعلى أي حال تواصلت هذه الحركة إلى أن ظهر موضوع إنشاء دار التبليغ مِنْ قِبَلِ شريعتمداري. في ذلك الوقت كان الثوريون متشككون بهذه الخطوة نظرًا إلى شكوكهم بشأن تعامل شريعتمداري مع النظام وصلته بالقصر.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كتب آية الله السيد علي الموسوي البهبهاني رسالةً إلى آية الله الميلاني يشير فيها إلى الاختلاف الذي وقع بين الإمام [الخميني] وشريعتمداري حول موضوع دار التبليغ، وقال: «لقد قال السيد الخميني صراحةً إنَّ موضوع دار التبليغ مشكوك فيه لدي، وأخشى أن تتصرف به الدولة وأن ينتهي الأمر لغير صالح علماء الدين، لذا فإني ألتزم الصمت اتجاه هذه المسألة».</w:t>
      </w:r>
      <w:r w:rsidRPr="006E28E9">
        <w:rPr>
          <w:rStyle w:val="Char"/>
          <w:rFonts w:ascii="Arabic11 BT" w:hAnsi="Arabic11 BT" w:cs="Arabic11 BT"/>
          <w:vertAlign w:val="superscript"/>
          <w:rtl/>
        </w:rPr>
        <w:footnoteReference w:id="144"/>
      </w:r>
      <w:r w:rsidRPr="0092648A">
        <w:rPr>
          <w:rStyle w:val="Char"/>
          <w:rFonts w:hint="cs"/>
          <w:rtl/>
        </w:rPr>
        <w:t xml:space="preserve"> وكتب الشيخ جواد الغروي </w:t>
      </w:r>
      <w:r w:rsidRPr="0092648A">
        <w:rPr>
          <w:rStyle w:val="Char"/>
          <w:rFonts w:hint="cs"/>
          <w:rtl/>
        </w:rPr>
        <w:lastRenderedPageBreak/>
        <w:t>العلياري رسالة من قم، استجابة إلى طلب الطلاب، أرسلها إلى السيد الميلاني واستفسر فيها منه عن تأييده لدار التبليغ أو عدم تأييده لها وقال له فيما قال: لقد اشتُهِر مؤخراً في الحوزة أنكم تفضَّلتم بكتابة رسالة تتضمن بعض الشروط التي تتعلق بدار التبليغ وأرسلتموها إلى قم وأنكم أقررتم بأن هذه الرسالة خلقت انزعاجًا لأن أكثر الناس هنا معارضون لهذه الدار وكان ينتظرون رأي حضرتكم المبارك، علمًا أن آية الله الخميني وبقية العلماء غير موافقين على إنشاء هذه الدار، وقد ذهب إليه [أي إلى آية الله الخميني] كثير من العلماء الأفاضل فقال لهم جميعًا إنه لا مصلحة في إنشاء مثل هذه الدار الآن.</w:t>
      </w:r>
      <w:r w:rsidRPr="006E28E9">
        <w:rPr>
          <w:rStyle w:val="Char"/>
          <w:rFonts w:ascii="Arabic11 BT" w:hAnsi="Arabic11 BT" w:cs="Arabic11 BT"/>
          <w:vertAlign w:val="superscript"/>
          <w:rtl/>
        </w:rPr>
        <w:footnoteReference w:id="145"/>
      </w:r>
    </w:p>
    <w:p w:rsidR="00DA6CFB" w:rsidRPr="00E4364C" w:rsidRDefault="00DA6CFB" w:rsidP="0092648A">
      <w:pPr>
        <w:widowControl w:val="0"/>
        <w:spacing w:line="216" w:lineRule="auto"/>
        <w:ind w:firstLine="284"/>
        <w:jc w:val="both"/>
        <w:rPr>
          <w:rStyle w:val="Char"/>
          <w:spacing w:val="-4"/>
          <w:rtl/>
        </w:rPr>
      </w:pPr>
      <w:r w:rsidRPr="00E4364C">
        <w:rPr>
          <w:rStyle w:val="Char"/>
          <w:rFonts w:hint="cs"/>
          <w:spacing w:val="-4"/>
          <w:rtl/>
        </w:rPr>
        <w:t>قال الإمام في خطبته التي ألقاها بتاريخ 26/2/1343 هـ.ش (يوافق 16/5/1964م): «إن هؤلاء السادة يريدون أن ينشئوا جامعةً إسلاميةً - حقًّا إنه لأمر مضحك! -. لقد سمعت أنهم أعدوا ميزانيةً لهذا الموضوع تبلغ عدة ملايين، إن كنتم مشفقين على الإسلام، فلدينا نحن جامعة هناك فلماذا تخرّبونها؟... إنهم يريدون أن يجعلوا الإسلام والمسلمين وعلماء الإسلام تحت سيطرة وزارة الثقافة. إنهم مخطئون جدًّا في ذلك ولا يمكن السماح لوزارة الثقافة أن تتدخل في أمر الديانة والإسلام».</w:t>
      </w:r>
      <w:r w:rsidRPr="00E4364C">
        <w:rPr>
          <w:rStyle w:val="Char"/>
          <w:rFonts w:ascii="Arabic11 BT" w:hAnsi="Arabic11 BT" w:cs="Arabic11 BT"/>
          <w:spacing w:val="-4"/>
          <w:vertAlign w:val="superscript"/>
          <w:rtl/>
        </w:rPr>
        <w:footnoteReference w:id="146"/>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كان موضوع إصلاح الحوزة موضع اهتمام مِنْ قِبَلِ الإمام وأصحابه بالطبع، لكن مسألة دار التبليغ بالكيفية التي خُطِّطَ لها لم تكن مقبولةً مِنْ قِبَلِ الإمام.</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الجدير بالذكر أن جهاز الأمن السافاك كتب تقريراً حول تأسيس جامعة إسلامية في مدينة مشهد وهو موجود في ملف آية الله الميلاني.</w:t>
      </w:r>
      <w:r w:rsidRPr="006E28E9">
        <w:rPr>
          <w:rStyle w:val="Char"/>
          <w:rFonts w:ascii="Arabic11 BT" w:hAnsi="Arabic11 BT" w:cs="Arabic11 BT"/>
          <w:vertAlign w:val="superscript"/>
          <w:rtl/>
        </w:rPr>
        <w:footnoteReference w:id="147"/>
      </w:r>
      <w:r w:rsidRPr="0092648A">
        <w:rPr>
          <w:rStyle w:val="Char"/>
          <w:rFonts w:hint="cs"/>
          <w:rtl/>
        </w:rPr>
        <w:t xml:space="preserve"> لكن جهود النظام تلك ومحاولاته باءَت كلها بالفشل ولم يستطع نظام البهلوي أبدًا أن يؤسس مثل هذا المركز في قم أو في مشهد.</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وعلى كل حال، كان نشاط الطلاب الثوريين في بعض الاجتماعات وبعض مجالس الفاتحة التي كان يقيمها المراجع يبدو أمرًا عاديًّا؛ ولكن مثل هذه النشاطات إذا وقعت في المجالس المتعلقة بالسيد شريعتمداري الذي لم يكن ينوي أن يصطدم بالحكومة، كان من الممكن أن تكون له عواقب وخيمة. وكنموذج على ذلك قيام أحد المرتبطين بالمرحوم شريعتمداري ويُدْعى الشيخ غلامرضا الزنجاني (توفِّيَ في رجب 1392هـ.ق/1972م) بضرب الطلاب الثوريين وقد اشتُهِرت تلك الليلة باسم </w:t>
      </w:r>
      <w:r w:rsidRPr="0092648A">
        <w:rPr>
          <w:rStyle w:val="Char"/>
          <w:rFonts w:hint="cs"/>
          <w:rtl/>
        </w:rPr>
        <w:lastRenderedPageBreak/>
        <w:t>ليلة الضرب.</w:t>
      </w:r>
      <w:r w:rsidRPr="006E28E9">
        <w:rPr>
          <w:rStyle w:val="Char"/>
          <w:rFonts w:ascii="Arabic11 BT" w:hAnsi="Arabic11 BT" w:cs="Arabic11 BT"/>
          <w:vertAlign w:val="superscript"/>
          <w:rtl/>
        </w:rPr>
        <w:footnoteReference w:id="148"/>
      </w:r>
      <w:r w:rsidRPr="0092648A">
        <w:rPr>
          <w:rStyle w:val="Char"/>
          <w:rFonts w:hint="cs"/>
          <w:rtl/>
        </w:rPr>
        <w:t xml:space="preserve"> </w:t>
      </w:r>
    </w:p>
    <w:p w:rsidR="00DA6CFB" w:rsidRPr="00E4364C" w:rsidRDefault="00DA6CFB" w:rsidP="0092648A">
      <w:pPr>
        <w:widowControl w:val="0"/>
        <w:spacing w:line="216" w:lineRule="auto"/>
        <w:ind w:firstLine="284"/>
        <w:jc w:val="both"/>
        <w:rPr>
          <w:rStyle w:val="Char"/>
          <w:spacing w:val="-4"/>
          <w:rtl/>
        </w:rPr>
      </w:pPr>
      <w:r w:rsidRPr="00E4364C">
        <w:rPr>
          <w:rStyle w:val="Char"/>
          <w:rFonts w:hint="cs"/>
          <w:spacing w:val="-4"/>
          <w:rtl/>
        </w:rPr>
        <w:t>بناءً على ما سبق، ينبغي القول إن مؤسسة دار التبليغ مثلها مثل المرحوم شريعتمداري ذاته لم يكن لها أي توجه معادٍ للحكومة وبشكل خاص لم يكن لها أي توجُّهٍ معادٍ للمَلِك (الشاه). وكان هذا بالنسبة إلى الأفراد الثوريين أمرًا في غاية السوء. يقول حجة الإسلام جمي: «مررت برفقة الشهيد سعيدي من جانب دار التبليغ فتنفَّس الصعداء وقال: هذا مكان خطر جدًّا. السيد الخميني منزعجٌ من هذا المكان».</w:t>
      </w:r>
      <w:r w:rsidRPr="00E4364C">
        <w:rPr>
          <w:rStyle w:val="Char"/>
          <w:rFonts w:ascii="Arabic11 BT" w:hAnsi="Arabic11 BT" w:cs="Arabic11 BT"/>
          <w:spacing w:val="-4"/>
          <w:vertAlign w:val="superscript"/>
          <w:rtl/>
        </w:rPr>
        <w:footnoteReference w:id="149"/>
      </w:r>
      <w:r w:rsidRPr="00E4364C">
        <w:rPr>
          <w:rStyle w:val="Char"/>
          <w:rFonts w:hint="cs"/>
          <w:spacing w:val="-4"/>
          <w:rtl/>
        </w:rPr>
        <w:t xml:space="preserve"> وروى جمي ذاته عن الشهيد مفتِّح الذي حضر مراسم افتتاح دار التبليغ أن كثيرًا من الطلاب [أي طلاب العلوم الدينية] كانوا ينظرون إليَّ بأعين محمرَّة وغاضبة ولسان حالهم يقول: لماذا شاركت في مراسم الافتتاح هذه؟</w:t>
      </w:r>
      <w:r w:rsidRPr="00E4364C">
        <w:rPr>
          <w:rStyle w:val="Char"/>
          <w:rFonts w:ascii="Arabic11 BT" w:hAnsi="Arabic11 BT" w:cs="Arabic11 BT"/>
          <w:spacing w:val="-4"/>
          <w:vertAlign w:val="superscript"/>
          <w:rtl/>
        </w:rPr>
        <w:footnoteReference w:id="150"/>
      </w:r>
      <w:r w:rsidRPr="00E4364C">
        <w:rPr>
          <w:rStyle w:val="Char"/>
          <w:rFonts w:hint="cs"/>
          <w:spacing w:val="-4"/>
          <w:rtl/>
        </w:rPr>
        <w:t xml:space="preserve"> وأضاف يقول: كان السيد خزعلي أيضًا معارضًا لدار التبليغ.</w:t>
      </w:r>
      <w:r w:rsidRPr="00E4364C">
        <w:rPr>
          <w:rStyle w:val="Char"/>
          <w:rFonts w:ascii="Arabic11 BT" w:hAnsi="Arabic11 BT" w:cs="Arabic11 BT"/>
          <w:spacing w:val="-4"/>
          <w:vertAlign w:val="superscript"/>
          <w:rtl/>
        </w:rPr>
        <w:footnoteReference w:id="151"/>
      </w:r>
      <w:r w:rsidRPr="00E4364C">
        <w:rPr>
          <w:rStyle w:val="Char"/>
          <w:rFonts w:hint="cs"/>
          <w:spacing w:val="-4"/>
          <w:rtl/>
        </w:rPr>
        <w:t xml:space="preserve"> بعض هؤلاء الطلاب الثوريين كانوا يتعاملون بجفاء حتى مع السيد مطهري بسبب تدريسه في ذلك الزمن في دار التبليغ.</w:t>
      </w:r>
      <w:r w:rsidRPr="00E4364C">
        <w:rPr>
          <w:rStyle w:val="Char"/>
          <w:rFonts w:ascii="Arabic11 BT" w:hAnsi="Arabic11 BT" w:cs="Arabic11 BT"/>
          <w:spacing w:val="-4"/>
          <w:vertAlign w:val="superscript"/>
          <w:rtl/>
        </w:rPr>
        <w:footnoteReference w:id="152"/>
      </w:r>
    </w:p>
    <w:p w:rsidR="00DA6CFB" w:rsidRPr="0092648A" w:rsidRDefault="00DA6CFB" w:rsidP="0092648A">
      <w:pPr>
        <w:widowControl w:val="0"/>
        <w:spacing w:line="216" w:lineRule="auto"/>
        <w:ind w:firstLine="284"/>
        <w:jc w:val="both"/>
        <w:rPr>
          <w:rStyle w:val="Char"/>
          <w:rtl/>
        </w:rPr>
      </w:pPr>
      <w:r w:rsidRPr="0092648A">
        <w:rPr>
          <w:rStyle w:val="Char"/>
          <w:rFonts w:hint="cs"/>
          <w:rtl/>
        </w:rPr>
        <w:t>النقطة الأخرى في الموضوع هي أن حكومة الشاه بهلوي التي كان لابد لها أن تنشر بين الناس دعايةً لأحد المراجع، قررت، لأجل إضعاف مكانة الإمام ومنزلته بين الناس، أن تؤيد المرشحين الآخرين [غير الإمام] للمرجعية، في هذا المجال كانت الأولية لدعم مرجعية شريعتمداري الذين لم يكن يسعى إلى الثورة على حكم الشاه، كما لم يكن يدافع بصراحة عن الحركات الثورية التي تنشط ضده، وهذا الأمر بذاته خلق سوء ظنٍّ بشريعتمداري في أذهان الناشطين الثوريين.</w:t>
      </w:r>
      <w:r w:rsidRPr="006E28E9">
        <w:rPr>
          <w:rStyle w:val="Char"/>
          <w:rFonts w:ascii="Arabic11 BT" w:hAnsi="Arabic11 BT" w:cs="Arabic11 BT"/>
          <w:vertAlign w:val="superscript"/>
          <w:rtl/>
        </w:rPr>
        <w:footnoteReference w:id="15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في حوار جرى يومًا من الأيام بين ثلاثة أشخاص هم آية الله الكلبايكاني وابنه السيد مهدي وآية الله المنتظري، قال آية الله الكلبايكاني: «حسبما وصل إلى علمنا فإن الطلاب الذين يملكون بطاقة الانتساب إلى دار التبليغ يمكنهم إلقاء الخطب المنبرية وأما الآخرون فلا يسمح لهم بذلك، وهذا من الأسباب التي تدعونا إلى الاعتراض».</w:t>
      </w:r>
      <w:r w:rsidRPr="006E28E9">
        <w:rPr>
          <w:rStyle w:val="Char"/>
          <w:rFonts w:ascii="Arabic11 BT" w:hAnsi="Arabic11 BT" w:cs="Arabic11 BT"/>
          <w:vertAlign w:val="superscript"/>
          <w:rtl/>
        </w:rPr>
        <w:footnoteReference w:id="154"/>
      </w:r>
      <w:r w:rsidRPr="0092648A">
        <w:rPr>
          <w:rStyle w:val="Char"/>
          <w:rFonts w:hint="cs"/>
          <w:rtl/>
        </w:rPr>
        <w:t xml:space="preserve"> بعد ذلك بعدة أيام قال السيد گلپايگاني، مشيرًا إلى حفل افتتاح مكتبة دار التبليغ والكلمة التي ألقاها صدر البلاغي فيه: لقد كذب السيد صدر بلاغي في كلمته التي ألقاها في ذلك الافتتاح وقال كلامًا مخالفًا للواقع، إذ قال إن الحوزة العلمية في قم لم تكن معروفة ولا مشهورة قبل تأسيس دار التبليغ، وأضاف يقول: لولا أن ذلك مضر بمصلحة الإسلام لبيَّنْتُ بعد الدرس أمورًا كثيرةً حول دار التبليغ.</w:t>
      </w:r>
      <w:r w:rsidRPr="006E28E9">
        <w:rPr>
          <w:rStyle w:val="Char"/>
          <w:rFonts w:ascii="Arabic11 BT" w:hAnsi="Arabic11 BT" w:cs="Arabic11 BT"/>
          <w:vertAlign w:val="superscript"/>
          <w:rtl/>
        </w:rPr>
        <w:footnoteReference w:id="155"/>
      </w:r>
      <w:r w:rsidRPr="0092648A">
        <w:rPr>
          <w:rStyle w:val="Char"/>
          <w:rFonts w:hint="cs"/>
          <w:rtl/>
        </w:rPr>
        <w:t xml:space="preserve"> وعندما طلب منه أحدهم مرّةً أن يبدي رأيه في الحكومة قال: </w:t>
      </w:r>
      <w:r w:rsidRPr="0092648A">
        <w:rPr>
          <w:rStyle w:val="Char"/>
          <w:rFonts w:hint="eastAsia"/>
          <w:rtl/>
        </w:rPr>
        <w:t>«</w:t>
      </w:r>
      <w:r w:rsidRPr="0092648A">
        <w:rPr>
          <w:rStyle w:val="Char"/>
          <w:rFonts w:hint="cs"/>
          <w:rtl/>
        </w:rPr>
        <w:t>ا</w:t>
      </w:r>
      <w:r w:rsidRPr="0092648A">
        <w:rPr>
          <w:rStyle w:val="Char"/>
          <w:rFonts w:hint="eastAsia"/>
          <w:rtl/>
        </w:rPr>
        <w:t>ت</w:t>
      </w:r>
      <w:r w:rsidRPr="0092648A">
        <w:rPr>
          <w:rStyle w:val="Char"/>
          <w:rFonts w:hint="cs"/>
          <w:rtl/>
        </w:rPr>
        <w:t>صلوا بالسيد شريعتمداري لأن رجال الحكم يصغون إلى كلامه</w:t>
      </w:r>
      <w:r w:rsidRPr="0092648A">
        <w:rPr>
          <w:rStyle w:val="Char"/>
          <w:rFonts w:hint="eastAsia"/>
          <w:rtl/>
        </w:rPr>
        <w:t>»</w:t>
      </w:r>
      <w:r w:rsidRPr="0092648A">
        <w:rPr>
          <w:rStyle w:val="Char"/>
          <w:rFonts w:hint="cs"/>
          <w:rtl/>
        </w:rPr>
        <w:t>.</w:t>
      </w:r>
      <w:r w:rsidRPr="006E28E9">
        <w:rPr>
          <w:rStyle w:val="Char"/>
          <w:rFonts w:ascii="Arabic11 BT" w:hAnsi="Arabic11 BT" w:cs="Arabic11 BT"/>
          <w:vertAlign w:val="superscript"/>
          <w:rtl/>
        </w:rPr>
        <w:footnoteReference w:id="156"/>
      </w:r>
      <w:r w:rsidRPr="0092648A">
        <w:rPr>
          <w:rStyle w:val="Char"/>
          <w:rFonts w:hint="cs"/>
          <w:rtl/>
        </w:rPr>
        <w:t xml:space="preserve"> ووصل الأمر إلى حدّ الإشاعة في قم بأن السيد الكلبايكاني حرَّم كتاب «سيماى اسلام» [ملامح الإسلام] الذي نشرته دار التبليغ.</w:t>
      </w:r>
      <w:r w:rsidRPr="006E28E9">
        <w:rPr>
          <w:rStyle w:val="Char"/>
          <w:rFonts w:ascii="Arabic11 BT" w:hAnsi="Arabic11 BT" w:cs="Arabic11 BT"/>
          <w:vertAlign w:val="superscript"/>
          <w:rtl/>
        </w:rPr>
        <w:footnoteReference w:id="157"/>
      </w:r>
      <w:r w:rsidRPr="0092648A">
        <w:rPr>
          <w:rStyle w:val="Char"/>
          <w:rFonts w:hint="cs"/>
          <w:rtl/>
        </w:rPr>
        <w:t xml:space="preserve"> ولما سمع جهاز السافاك بأن السيد الكلبايكاني والسيد شريعتمداري يعتزمان السفر إلى مشهد أوعز إلى عملائه أن «يعدُّوا العدة لهذا الموضوع ويقوموا باستقبال حافل ومجلَّل لشريعتمداري كما يليق به، وأن يمنعوا في الوقت نفسه استقبال الناس للكلبايكاني».</w:t>
      </w:r>
      <w:r w:rsidRPr="006E28E9">
        <w:rPr>
          <w:rStyle w:val="Char"/>
          <w:rFonts w:ascii="Arabic11 BT" w:hAnsi="Arabic11 BT" w:cs="Arabic11 BT"/>
          <w:vertAlign w:val="superscript"/>
          <w:rtl/>
        </w:rPr>
        <w:footnoteReference w:id="158"/>
      </w:r>
      <w:r w:rsidRPr="0092648A">
        <w:rPr>
          <w:rStyle w:val="Char"/>
          <w:rFonts w:hint="cs"/>
          <w:rtl/>
        </w:rPr>
        <w:t xml:space="preserve"> في إحدى الأيام جاء السيد عبد الرسول قائمي،</w:t>
      </w:r>
      <w:r w:rsidRPr="006E28E9">
        <w:rPr>
          <w:rStyle w:val="Char"/>
          <w:rFonts w:ascii="Arabic11 BT" w:hAnsi="Arabic11 BT" w:cs="Arabic11 BT"/>
          <w:vertAlign w:val="superscript"/>
          <w:rtl/>
        </w:rPr>
        <w:footnoteReference w:id="159"/>
      </w:r>
      <w:r w:rsidRPr="0092648A">
        <w:rPr>
          <w:rStyle w:val="Char"/>
          <w:rFonts w:hint="cs"/>
          <w:rtl/>
        </w:rPr>
        <w:t xml:space="preserve"> أحد علماء الدين ذوي النفوذ والذي يقيم في مدينة عبادان، </w:t>
      </w:r>
      <w:r w:rsidRPr="0092648A">
        <w:rPr>
          <w:rStyle w:val="Char"/>
          <w:rFonts w:hint="cs"/>
          <w:rtl/>
        </w:rPr>
        <w:lastRenderedPageBreak/>
        <w:t>إلى قم كي يسعى إلى إصلاح ذات البين وإيجاد التوافق بين هذين المرجعين، فقال له آية الله الكلبايكاني: «لو اتبع السيد شريعتمداري منهجًا مشابهًا للمنهج الذي أتبعه وقطع علاقته بمسؤولي النظام، فأنا مستعد للتعاون معه».</w:t>
      </w:r>
      <w:r w:rsidRPr="006E28E9">
        <w:rPr>
          <w:rStyle w:val="Char"/>
          <w:rFonts w:ascii="Arabic11 BT" w:hAnsi="Arabic11 BT" w:cs="Arabic11 BT"/>
          <w:vertAlign w:val="superscript"/>
          <w:rtl/>
        </w:rPr>
        <w:footnoteReference w:id="160"/>
      </w:r>
      <w:r w:rsidRPr="0092648A">
        <w:rPr>
          <w:rStyle w:val="Char"/>
          <w:rFonts w:hint="cs"/>
          <w:rtl/>
        </w:rPr>
        <w:t xml:space="preserve"> كان السبب في هذا اللوم أوالتوبيخ  تخلُّف السيد شريعتمداري عن مماشاة السيد الكلبايكاني في بعض الخطوات القوية والصريحة التي اتخذها ضد الحكومة، مما أدى إلى إرسال السيد الكلبايكاني رسائلَ حادة للسيد شريعتمداري.</w:t>
      </w:r>
      <w:r w:rsidRPr="006E28E9">
        <w:rPr>
          <w:rStyle w:val="Char"/>
          <w:rFonts w:ascii="Arabic11 BT" w:hAnsi="Arabic11 BT" w:cs="Arabic11 BT"/>
          <w:vertAlign w:val="superscript"/>
          <w:rtl/>
        </w:rPr>
        <w:footnoteReference w:id="161"/>
      </w:r>
      <w:r w:rsidRPr="0092648A">
        <w:rPr>
          <w:rStyle w:val="Char"/>
          <w:rFonts w:hint="cs"/>
          <w:rtl/>
        </w:rPr>
        <w:t xml:space="preserve"> يقول السيد موسوي فرد: عندما ذهبنا برفقة عدد من طلاب [العلوم الدينية] إلى السيد شريعتمداري وقلنا له لقد قام النظام بنفي أساتذتنا أو اعتقالهم وتعذيبهم في السجن وقد أدى ذلك إلى تعطُّل عمل الحوزة العلمية، استمع إلينا السيد شريعتمداري وبعد برهة من الزمن رفع رأسه وقال: نحن لسنا مسؤولين عن هذه الأعمال وليس مطلوبًا منا أن نعطي جوابًا عنها. إن الذين يثورون الآن لا يثورون لأجل الله بل يثورون </w:t>
      </w:r>
      <w:r w:rsidRPr="0092648A">
        <w:rPr>
          <w:rStyle w:val="Char"/>
          <w:rFonts w:hint="cs"/>
          <w:rtl/>
        </w:rPr>
        <w:lastRenderedPageBreak/>
        <w:t>لأجل الخميني. لماذا تسألونني أنا ولماذا جئتم إلى هنا من الأساس؟</w:t>
      </w:r>
      <w:r w:rsidRPr="006E28E9">
        <w:rPr>
          <w:rStyle w:val="Char"/>
          <w:rFonts w:ascii="Arabic11 BT" w:hAnsi="Arabic11 BT" w:cs="Arabic11 BT"/>
          <w:vertAlign w:val="superscript"/>
          <w:rtl/>
        </w:rPr>
        <w:footnoteReference w:id="162"/>
      </w:r>
    </w:p>
    <w:p w:rsidR="00DA6CFB" w:rsidRPr="0092648A" w:rsidRDefault="00DA6CFB" w:rsidP="00E4364C">
      <w:pPr>
        <w:widowControl w:val="0"/>
        <w:spacing w:line="209" w:lineRule="auto"/>
        <w:ind w:firstLine="284"/>
        <w:jc w:val="both"/>
        <w:rPr>
          <w:rStyle w:val="Char"/>
          <w:rtl/>
        </w:rPr>
      </w:pPr>
      <w:r w:rsidRPr="0092648A">
        <w:rPr>
          <w:rStyle w:val="Char"/>
          <w:rFonts w:hint="cs"/>
          <w:rtl/>
        </w:rPr>
        <w:t>أما على صعيد العمل الثقافي فقد استطاعت دار التبليغ على مدى سنوات من نشاطها الثقافي المتواصل أن تعرِّف الطلاب الشباب، من خلال إيجاد مركز تعليمي حديث، على المعارف الجديدة في حقل العلوم الإنسانية-الدينية، وقد استفادت تلك الدار في هذا الصدد من أساتذة من غير علماء الدين، كانوا يأتون إليها من طهران. أضف إلى ذلك كان إيجاد هذا المركز المفتوح للطلاب الأجانب،</w:t>
      </w:r>
      <w:r w:rsidRPr="006E28E9">
        <w:rPr>
          <w:rStyle w:val="Char"/>
          <w:rFonts w:ascii="Arabic11 BT" w:hAnsi="Arabic11 BT" w:cs="Arabic11 BT"/>
          <w:vertAlign w:val="superscript"/>
          <w:rtl/>
        </w:rPr>
        <w:footnoteReference w:id="163"/>
      </w:r>
      <w:r w:rsidRPr="0092648A">
        <w:rPr>
          <w:rStyle w:val="Char"/>
          <w:rFonts w:hint="cs"/>
          <w:rtl/>
        </w:rPr>
        <w:t xml:space="preserve"> أول خطوة في الحوزة لتعليم وتربية الطلاب الأجانب. كما كان أول مركز تعليمي لطالبات العلوم الدينية في الحوزة هو الذي المركز أنشأته دار التبليغ للبنات ثم انتقل المركز فيما بعد إلى مكتب التوحيد [المستقل عن دار التبليغ].</w:t>
      </w:r>
      <w:r w:rsidRPr="006E28E9">
        <w:rPr>
          <w:rStyle w:val="Char"/>
          <w:rFonts w:ascii="Arabic11 BT" w:hAnsi="Arabic11 BT" w:cs="Arabic11 BT"/>
          <w:vertAlign w:val="superscript"/>
          <w:rtl/>
        </w:rPr>
        <w:footnoteReference w:id="164"/>
      </w:r>
    </w:p>
    <w:p w:rsidR="00DA6CFB" w:rsidRPr="0092648A" w:rsidRDefault="00DA6CFB" w:rsidP="00E4364C">
      <w:pPr>
        <w:widowControl w:val="0"/>
        <w:spacing w:line="209" w:lineRule="auto"/>
        <w:ind w:firstLine="284"/>
        <w:jc w:val="both"/>
        <w:rPr>
          <w:rStyle w:val="Char"/>
          <w:rtl/>
        </w:rPr>
      </w:pPr>
      <w:r w:rsidRPr="0092648A">
        <w:rPr>
          <w:rStyle w:val="Char"/>
          <w:rFonts w:hint="cs"/>
          <w:rtl/>
        </w:rPr>
        <w:t>من الأعمال الأخرى التي قامت بها دار التبليغ أيضًا طباعة ونشر مجلات خاصة بالشباب ذات عناوين مثل الجيل الجديد (للشباب) ورسالة المرح لأجل الأطفال (وكان السيد هادي خسروشاهي مديرًا لكلا المجلتين)، هذا إضافةً إلى طباعة كتب متنوعة. كما كانت الدار تقوم بنشر مجلة بحثية-علمية باللغة العربية باسم «الهادي» والتي واصلت انتشارها لسنوات طويلة. أشار غلامرضا سعيدي في حفل افتتاح مكتبة دار التبليغ، الذي تم في 13 خرداد سنة 1348هـ.ش [3/6/1969م] إلى مجلة «مكتب اسلام» بوصفها من مجلات دار التبليغ، وقال: كل شهر تتم طباعة 40 ألف نسخة من هذه المجلة ونشرها.</w:t>
      </w:r>
      <w:r w:rsidRPr="006E28E9">
        <w:rPr>
          <w:rStyle w:val="Char"/>
          <w:rFonts w:ascii="Arabic11 BT" w:hAnsi="Arabic11 BT" w:cs="Arabic11 BT"/>
          <w:vertAlign w:val="superscript"/>
          <w:rtl/>
        </w:rPr>
        <w:footnoteReference w:id="165"/>
      </w:r>
      <w:r w:rsidRPr="0092648A">
        <w:rPr>
          <w:rStyle w:val="Char"/>
          <w:rFonts w:hint="cs"/>
          <w:rtl/>
        </w:rPr>
        <w:t xml:space="preserve"> إضافةً إلى ذلك، قامت دار النشر التابعة لدار التبليغ </w:t>
      </w:r>
      <w:r w:rsidRPr="0092648A">
        <w:rPr>
          <w:rStyle w:val="Char"/>
          <w:rFonts w:hint="cs"/>
          <w:rtl/>
        </w:rPr>
        <w:lastRenderedPageBreak/>
        <w:t>بطباعة ونشر عشرات الكتب خلال سنين من نشاطها الثقافي، ويمكن مراجعة فهرست مطبوعات تلك الدار الذي يمكن أن نلاحظ فيه أيضًا بعض مؤلفات الأستاذ مطهري ومؤلفات كثير من العلماء الآخرين.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كتاب </w:t>
      </w:r>
      <w:r w:rsidRPr="0092648A">
        <w:rPr>
          <w:rStyle w:val="Char"/>
          <w:rFonts w:hint="eastAsia"/>
          <w:rtl/>
        </w:rPr>
        <w:t>«</w:t>
      </w:r>
      <w:r w:rsidRPr="0092648A">
        <w:rPr>
          <w:rStyle w:val="Char"/>
          <w:rFonts w:hint="cs"/>
          <w:rtl/>
        </w:rPr>
        <w:t>سيماي اسلام</w:t>
      </w:r>
      <w:r w:rsidRPr="0092648A">
        <w:rPr>
          <w:rStyle w:val="Char"/>
          <w:rFonts w:hint="eastAsia"/>
          <w:rtl/>
        </w:rPr>
        <w:t>»</w:t>
      </w:r>
      <w:r w:rsidRPr="0092648A">
        <w:rPr>
          <w:rStyle w:val="Char"/>
          <w:rFonts w:hint="cs"/>
          <w:rtl/>
        </w:rPr>
        <w:t xml:space="preserve"> [ملامح الإسلام] عبارة عن مجموعة من المقالات التي نشرت في قسمين: </w:t>
      </w:r>
      <w:r w:rsidRPr="0092648A">
        <w:rPr>
          <w:rStyle w:val="Char"/>
          <w:rFonts w:hint="eastAsia"/>
          <w:rtl/>
        </w:rPr>
        <w:t>«</w:t>
      </w:r>
      <w:r w:rsidRPr="0092648A">
        <w:rPr>
          <w:rStyle w:val="Char"/>
          <w:rFonts w:hint="cs"/>
          <w:rtl/>
        </w:rPr>
        <w:t>مقالات علماء دار التبليغ الإسلامي وأساتذتها، و</w:t>
      </w:r>
      <w:r w:rsidRPr="0092648A">
        <w:rPr>
          <w:rStyle w:val="Char"/>
          <w:rFonts w:hint="eastAsia"/>
          <w:rtl/>
        </w:rPr>
        <w:t>«</w:t>
      </w:r>
      <w:r w:rsidRPr="0092648A">
        <w:rPr>
          <w:rStyle w:val="Char"/>
          <w:rFonts w:hint="cs"/>
          <w:rtl/>
        </w:rPr>
        <w:t>مقالات الطلاب الدارسين في دار التبليغ الإسلامي</w:t>
      </w:r>
      <w:r w:rsidRPr="0092648A">
        <w:rPr>
          <w:rStyle w:val="Char"/>
          <w:rFonts w:hint="eastAsia"/>
          <w:rtl/>
        </w:rPr>
        <w:t>»</w:t>
      </w:r>
      <w:r w:rsidRPr="0092648A">
        <w:rPr>
          <w:rStyle w:val="Char"/>
          <w:rFonts w:hint="cs"/>
          <w:rtl/>
        </w:rPr>
        <w:t>، نشرت كأول نشرة أو مجلة السنوية تصدرها هذه الدار في 250 صفحة. وقد تضمنت مقدمة هذه المجلة السنوية، التي نشرت عام 1348 هـ.ش [1969م]، وكُتِبَت مقدِّمتها باسم هيئة التحرير تحت عنوان: «</w:t>
      </w:r>
      <w:r w:rsidRPr="008C7124">
        <w:rPr>
          <w:rStyle w:val="Char7"/>
          <w:rFonts w:hint="cs"/>
          <w:rtl/>
        </w:rPr>
        <w:t>دار التبليغ الإسلامي، ضرورة الزمن، والخطوة الحياتية</w:t>
      </w:r>
      <w:r w:rsidRPr="008C7124">
        <w:rPr>
          <w:rStyle w:val="Char7"/>
          <w:rFonts w:hint="eastAsia"/>
          <w:rtl/>
        </w:rPr>
        <w:t>»</w:t>
      </w:r>
      <w:r w:rsidRPr="0092648A">
        <w:rPr>
          <w:rStyle w:val="Char"/>
          <w:rFonts w:hint="cs"/>
          <w:rtl/>
        </w:rPr>
        <w:t>، وتضمَّنتْ شرحًا لضرورة تأسيس تلك الدار، وتحدث المقدمة خلال ذلك عن أعمال وإنجازات إقبال اللاهوري، وقبله: السيد جمال الدين الأسد آبادي والشاه ولي الله الدهلوي. بناءً على ذلك، كان ثمَّة إحساس بأن دار التبليغ تعتبر نفسها سائرةً على النهج الفكري لتلك الشخصيات وأنها تتضمن عروقًا من الفكر الديني التنويري العصري، وأشارت المقدمة، من خلال نقلها للكلمة التي ألقاها مؤسس دار التبليغ، بشكل ضمن،ي إلى أن هذه الدار تمثل مركزًا لمواجهة الدعاية التبشيرية النصرانية.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بداية مقدمة هذا الكتاب أو المجلة السنوية تم إدراج نص الكلمة التي ألقاها السيد شريعتمداري حول دار التبليغ والمسائل المتعلقة بموضوع الدعوة والتبليغ داخل إيران وخارجها، ثم في القسم الأول من الكتاب أُدْرِجَت مقالات لكل الوجوه الفكرية البارزة في إيران في ذلك الوقت، تقريبًا، مثل السادة: [محمد حسين] الطباطبائي، مرتضى مطهري، محمود الطالقاني، محمد تقي شريعتي، مهدي بازكان، مرتضى شبستري، جعفر سبحاني، ناصر مكارم الشيرازي، علي دواني، علي حجتي الكرماني وصدر الدين البلاغي. ونُشِر في القسم الثاني من هذه المجلة أو النشرة السنوية مقالات للطلاب الدارسين في دار التبليغ مثل: مهدي پيشوائي، على أكبر الحسني، داود إلهامي، عقيقي بخشايشي وكامل خير خواه وعدد من الطلاب الآخرين. وفي نهاية النشرة أُدْرِجَت خلاصة عن الأعمال التي قامت بها دار التبليغ في تلك الفترة الزمنية.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تقاسم المهام المختلفة لإدارة دار التبليغ عدد من الأفراد هم: السيد هادي خسروشاهي، وعلي حجتي الكرماني و رضا گلسرخي الكاشاني، كما عُيِّنَ الحاج الشيخ مجتبى محمدي العراقي الذي كان </w:t>
      </w:r>
      <w:r w:rsidRPr="0092648A">
        <w:rPr>
          <w:rStyle w:val="Char"/>
          <w:rFonts w:hint="cs"/>
          <w:rtl/>
        </w:rPr>
        <w:lastRenderedPageBreak/>
        <w:t>مديرًا لفترةٍ من الزمن، للمدرسة الفيضية، مديرًا لدار التبليغ، ثم عُزِلَ بعد ذلك من إدارة المدرسة الفيضية. وقد ذهب الأخير إلى النجف، استنادًا إلى صداقته القديمة مع الإمام [الخميني]، كي يشرح له المسائل المتعلقة بدار التبليغ، بيد أن الإمام لم يبد ترحيبًا بكلامه ولا انبساطًا لزيارته.</w:t>
      </w:r>
      <w:r w:rsidRPr="006E28E9">
        <w:rPr>
          <w:rStyle w:val="Char"/>
          <w:rFonts w:ascii="Arabic11 BT" w:hAnsi="Arabic11 BT" w:cs="Arabic11 BT"/>
          <w:vertAlign w:val="superscript"/>
          <w:rtl/>
        </w:rPr>
        <w:footnoteReference w:id="166"/>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كان لكثير من علماء الحوزة العلمية الأفاضل، - سواءً منهم الذين كانوا بعيدين عن السياسية أم الذين كان لهم نوع من النشاط السياسي المحدود - نشاط مباشر أو غير مباشر في هذا المركز.</w:t>
      </w:r>
      <w:r w:rsidRPr="006E28E9">
        <w:rPr>
          <w:rStyle w:val="Char"/>
          <w:rFonts w:ascii="Arabic11 BT" w:hAnsi="Arabic11 BT" w:cs="Arabic11 BT"/>
          <w:vertAlign w:val="superscript"/>
          <w:rtl/>
        </w:rPr>
        <w:footnoteReference w:id="167"/>
      </w:r>
    </w:p>
    <w:p w:rsidR="00DA6CFB" w:rsidRPr="0092648A" w:rsidRDefault="00DA6CFB" w:rsidP="0092648A">
      <w:pPr>
        <w:widowControl w:val="0"/>
        <w:spacing w:line="216" w:lineRule="auto"/>
        <w:ind w:firstLine="284"/>
        <w:jc w:val="both"/>
        <w:rPr>
          <w:rStyle w:val="Char"/>
          <w:rtl/>
        </w:rPr>
      </w:pPr>
      <w:r w:rsidRPr="0092648A">
        <w:rPr>
          <w:rStyle w:val="Char"/>
          <w:rFonts w:hint="cs"/>
          <w:rtl/>
        </w:rPr>
        <w:t>رغم ذلك كان هناك أشخاص يمارسون الحيطة والحذر [في تعاملهم مع دار التبليغ]. على سبيل المثال، بعد أن كان للأستاذ مطهري بعض الدروس التي يُلقيها في دار التبليغ واستمر على ذلك مدة من الزمن، انقطع عن التدريس في الدار مدةً طويلةً ليُدعى مرةً ثانيةً إلى إلقاء محاضرات فيها سنة 1351 أو 1352 هـ.ش [1972 - 1973م]؛ فاشترط للقيام بذلك أن يذهب السيد شريعتمداري إلى لقاء السيد منتظري الذي كان قد أُطلق سراحه من السجن حديثًا؛ لأن هذا سيخفف من حساسية النظام تجاه السيد منتظري. قَبِلَ السيد شريعتمداري ذلك وذهب إلى لقاء السيد منتظري، عند ذلك ألقى السيد مطهري محاضرتين خلال درسين في عصر يوم الجمعة في دار التبليغ وطُبعت المحاضرتان فيما بعد تحت عنوان «المعايير الأخلاقية».</w:t>
      </w:r>
      <w:r w:rsidRPr="006E28E9">
        <w:rPr>
          <w:rStyle w:val="Char"/>
          <w:rFonts w:ascii="Arabic11 BT" w:hAnsi="Arabic11 BT" w:cs="Arabic11 BT"/>
          <w:vertAlign w:val="superscript"/>
          <w:rtl/>
        </w:rPr>
        <w:footnoteReference w:id="168"/>
      </w:r>
      <w:r w:rsidRPr="0092648A">
        <w:rPr>
          <w:rStyle w:val="Char"/>
          <w:rFonts w:hint="cs"/>
          <w:rtl/>
        </w:rPr>
        <w:t xml:space="preserve"> ومن الجدير بالذكر أن بعض مؤلفات الأستاذ </w:t>
      </w:r>
      <w:r w:rsidRPr="0092648A">
        <w:rPr>
          <w:rStyle w:val="Char"/>
          <w:rFonts w:hint="cs"/>
          <w:rtl/>
        </w:rPr>
        <w:lastRenderedPageBreak/>
        <w:t>مطهري كانت تنشر ضمن منشورات دار التبليغ الإسلامي.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السنوات التي كان الإمام الخميني (قُدِّس سِرُّه) [مَنْفِيًّا] خارج إيران، لم تكن حكومة الشاه تلقي بالًا لآية الله الكلبايكاني ولا لآية الله النجفي ولا تعيرهما اهتمامًا؛ وفي المقابل كانت على صلة أفضل بالمرحوم شريعتمداري. ولهذا السبب تم الإعداد للقاء بعض علماء السنة المشهورين ومنهم الشيخ فحام رئيس جامعة الأزهر بآية الله شريعتمداري</w:t>
      </w:r>
      <w:r w:rsidRPr="006E28E9">
        <w:rPr>
          <w:rStyle w:val="Char"/>
          <w:rFonts w:ascii="Arabic11 BT" w:hAnsi="Arabic11 BT" w:cs="Arabic11 BT"/>
          <w:vertAlign w:val="superscript"/>
          <w:rtl/>
        </w:rPr>
        <w:footnoteReference w:id="169"/>
      </w:r>
      <w:r w:rsidRPr="0092648A">
        <w:rPr>
          <w:rStyle w:val="Char"/>
          <w:rFonts w:hint="cs"/>
          <w:rtl/>
        </w:rPr>
        <w:t>. ولم يكن هذا الأمر خافيًا على أحد. ربما كان السيد شريعتمداري في نظرهم عالم دين متنور عصري يمكن أن يفهم كلامهم أفضل من غيره. طبقًا لرواية جهاز السافاك قال السيد مطهري في اجتماع علماء الدين في طهران الذي كان يشارك فيه الثوار المناضلون، والذي عقد بتاريخ  25/ 10/ 1348 هـ.ش [يوافق: 15/1/1970م]: «هذه السنة سافر شريعتمداري إلى مشهد فاستُقْبِل استقبالاً حافلاً، وعلى قول آية الله كلبايكاني، فُرِشَت له سجادة جلالة الملك ليصلي عليها.</w:t>
      </w:r>
      <w:r w:rsidRPr="006E28E9">
        <w:rPr>
          <w:rStyle w:val="Char"/>
          <w:rFonts w:ascii="Arabic11 BT" w:hAnsi="Arabic11 BT" w:cs="Arabic11 BT"/>
          <w:vertAlign w:val="superscript"/>
          <w:rtl/>
        </w:rPr>
        <w:footnoteReference w:id="170"/>
      </w:r>
      <w:r w:rsidRPr="0092648A">
        <w:rPr>
          <w:rStyle w:val="Char"/>
          <w:rFonts w:hint="cs"/>
          <w:rtl/>
        </w:rPr>
        <w:t xml:space="preserve"> في مقام آخر أيضًا اشتكى السيد مطهري من حال المرحوم شريعتمداري بسبب سعيه إلى السيطرة على المساجد وأنه حتى «مناقبي» رجل الدين المتهم في طهران أثنى على شريعتمداري</w:t>
      </w:r>
      <w:r w:rsidRPr="006E28E9">
        <w:rPr>
          <w:rStyle w:val="Char"/>
          <w:rFonts w:ascii="Arabic11 BT" w:hAnsi="Arabic11 BT" w:cs="Arabic11 BT"/>
          <w:vertAlign w:val="superscript"/>
          <w:rtl/>
        </w:rPr>
        <w:footnoteReference w:id="171"/>
      </w:r>
      <w:r w:rsidRPr="0092648A">
        <w:rPr>
          <w:rStyle w:val="Char"/>
          <w:rFonts w:hint="cs"/>
          <w:rtl/>
        </w:rPr>
        <w:t xml:space="preserve">. إذا تابعنا قراءة الوثيقة نفسها نرى أن جهاز السافاك كان مهتما بشكل خاص بالمراجع «غير المغرضين» وكان يسعى إلى دعمهم في مواجهة علماء الدين المعارضين. </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الجهة الأخرى كان عمل دار التبليغ يشابه إلى حد ما عمل المبشرين النصارى الذين يسعون إلى تنصير الشباب المسلم في بلدان العالم الإسلامي، ومن القدر أنه تم التأكيد على هذه النقطة في الكلام الذي قيل عن السبب في إنشاء دار التبليغ هذه.</w:t>
      </w:r>
      <w:r w:rsidRPr="006E28E9">
        <w:rPr>
          <w:rStyle w:val="Char"/>
          <w:rFonts w:ascii="Arabic11 BT" w:hAnsi="Arabic11 BT" w:cs="Arabic11 BT"/>
          <w:vertAlign w:val="superscript"/>
          <w:rtl/>
        </w:rPr>
        <w:footnoteReference w:id="172"/>
      </w:r>
      <w:r w:rsidRPr="0092648A">
        <w:rPr>
          <w:rStyle w:val="Char"/>
          <w:rFonts w:hint="cs"/>
          <w:rtl/>
        </w:rPr>
        <w:t xml:space="preserve"> كما كان الاهتمام بنقد الماركسية أحد </w:t>
      </w:r>
      <w:r w:rsidRPr="0092648A">
        <w:rPr>
          <w:rStyle w:val="Char"/>
          <w:rFonts w:hint="cs"/>
          <w:rtl/>
        </w:rPr>
        <w:lastRenderedPageBreak/>
        <w:t>الأسباب العلمية والثقافية الأخرى  لتشكيل هذه المؤسسة أو الدار وقد قامت فعلًا بنشر عدد من المؤلفات في هذا الموضوع.</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فيما يتعلق بالعلاقات الخارجية مع بلدان العالم الإسلامي كانت دار التبليغ تسعى إلى الاتصال ببعض المؤسسات الدينية في العالم الإسلامي. جاء الدكتور الفحام شيخ الأزهر  ورئيس جامعته إلى قم عام 1391 هـ.ق [1972م] والتقى بالمرحوم شريعتمداري. تكلَّم في هذا اللقاء عدَّةُ أشخاص من جملتهم الشيخ محمد جواد مغنية</w:t>
      </w:r>
      <w:r w:rsidRPr="006E28E9">
        <w:rPr>
          <w:rStyle w:val="Char"/>
          <w:rFonts w:ascii="Arabic11 BT" w:hAnsi="Arabic11 BT" w:cs="Arabic11 BT"/>
          <w:vertAlign w:val="superscript"/>
          <w:rtl/>
        </w:rPr>
        <w:footnoteReference w:id="173"/>
      </w:r>
      <w:r w:rsidRPr="0092648A">
        <w:rPr>
          <w:rStyle w:val="Char"/>
          <w:rFonts w:hint="cs"/>
          <w:rtl/>
        </w:rPr>
        <w:t>. كان الشيخ مغنية من كُتَّاب الشيعة المشهورين في لبنان، - ولم يكن له أي صلة بثورة الإمام- وكان يأتي كل مدة من الزمن إلى قم وينزل ضيفًا عند المرحوم شريعتمداري.</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وأيًّا كان الأمر، فإن دار التبليغ، رغم كل المسائل السياسية التي تورَّطت بها، كانت بابًا جديدًا فُتِح في مدينة قم من الناحية الثقافية. كان إصدار تلك  الدار لعدد من المجلات سببًا - غير مباشر - لازدهار الكتابة والتأليف لدى عددٍ من الطلاب والشباب من ذوي الفضل والعلم الذين كانوا يكتبون مقالات دينية استنادًا إلى التعليم الذي تلقوه في تلك  الدار. </w:t>
      </w:r>
    </w:p>
    <w:p w:rsidR="00DA6CFB" w:rsidRPr="0092648A" w:rsidRDefault="00DA6CFB" w:rsidP="0092648A">
      <w:pPr>
        <w:widowControl w:val="0"/>
        <w:spacing w:line="216" w:lineRule="auto"/>
        <w:ind w:firstLine="284"/>
        <w:jc w:val="both"/>
        <w:rPr>
          <w:rStyle w:val="Char"/>
          <w:rtl/>
        </w:rPr>
      </w:pPr>
      <w:r w:rsidRPr="0092648A">
        <w:rPr>
          <w:rStyle w:val="Char"/>
          <w:rFonts w:hint="cs"/>
          <w:rtl/>
        </w:rPr>
        <w:t>على إثر المسائل التي وقعت بعد انتصار الثورة والتي تتعلق بالمرحوم شريعتمداري وبحزب «خلق مسلمان» [حزب الشعب المسلم] في السنوات 1358 - 1359 هـ.ش [1979 - 1980م]، تم إغلاق دار التبليغ نهائيًّا، وحُوِّل بناؤها</w:t>
      </w:r>
      <w:r w:rsidRPr="006E28E9">
        <w:rPr>
          <w:rStyle w:val="Char"/>
          <w:rFonts w:ascii="Arabic11 BT" w:hAnsi="Arabic11 BT" w:cs="Arabic11 BT"/>
          <w:vertAlign w:val="superscript"/>
          <w:rtl/>
        </w:rPr>
        <w:footnoteReference w:id="174"/>
      </w:r>
      <w:r w:rsidRPr="0092648A">
        <w:rPr>
          <w:rStyle w:val="Char"/>
          <w:rFonts w:hint="cs"/>
          <w:rtl/>
        </w:rPr>
        <w:t xml:space="preserve"> إلى مكتب الإعلام الإسلامي في قم.</w:t>
      </w:r>
    </w:p>
    <w:p w:rsidR="00DA6CFB" w:rsidRPr="0092648A" w:rsidRDefault="00DA6CFB" w:rsidP="0092648A">
      <w:pPr>
        <w:widowControl w:val="0"/>
        <w:spacing w:line="216" w:lineRule="auto"/>
        <w:ind w:firstLine="284"/>
        <w:jc w:val="both"/>
        <w:rPr>
          <w:rStyle w:val="Char"/>
          <w:rtl/>
        </w:rPr>
      </w:pPr>
    </w:p>
    <w:p w:rsidR="00DA6CFB" w:rsidRPr="0092648A" w:rsidRDefault="00DA6CFB" w:rsidP="00E4364C">
      <w:pPr>
        <w:widowControl w:val="0"/>
        <w:spacing w:line="216" w:lineRule="auto"/>
        <w:ind w:firstLine="284"/>
        <w:jc w:val="center"/>
        <w:rPr>
          <w:rStyle w:val="Char"/>
          <w:rtl/>
        </w:rPr>
      </w:pPr>
      <w:r w:rsidRPr="0092648A">
        <w:rPr>
          <w:rStyle w:val="Char"/>
          <w:rFonts w:hint="cs"/>
          <w:rtl/>
        </w:rPr>
        <w:t>==============</w:t>
      </w:r>
    </w:p>
    <w:p w:rsidR="00DA6CFB" w:rsidRDefault="00DA6CFB" w:rsidP="00E4364C">
      <w:pPr>
        <w:spacing w:line="216" w:lineRule="auto"/>
        <w:ind w:firstLine="284"/>
        <w:jc w:val="center"/>
        <w:rPr>
          <w:rtl/>
        </w:rPr>
      </w:pPr>
      <w:r w:rsidRPr="0092648A">
        <w:rPr>
          <w:rStyle w:val="Char"/>
          <w:rFonts w:hint="cs"/>
          <w:rtl/>
        </w:rPr>
        <w:t>====</w:t>
      </w:r>
    </w:p>
    <w:p w:rsidR="00DA6CFB" w:rsidRDefault="00DA6CFB" w:rsidP="00DA6CFB">
      <w:pPr>
        <w:jc w:val="center"/>
        <w:rPr>
          <w:rtl/>
        </w:rPr>
        <w:sectPr w:rsidR="00DA6CFB" w:rsidSect="00DA6CFB">
          <w:headerReference w:type="default" r:id="rId17"/>
          <w:footnotePr>
            <w:numRestart w:val="eachPage"/>
          </w:footnotePr>
          <w:pgSz w:w="9356" w:h="13608" w:code="1"/>
          <w:pgMar w:top="1021" w:right="851" w:bottom="737" w:left="851" w:header="454" w:footer="0" w:gutter="0"/>
          <w:cols w:space="720"/>
          <w:titlePg/>
          <w:bidi/>
          <w:rtlGutter/>
          <w:docGrid w:linePitch="360"/>
        </w:sectPr>
      </w:pPr>
    </w:p>
    <w:p w:rsidR="00DA6CFB" w:rsidRPr="00C3442C" w:rsidRDefault="00DA6CFB" w:rsidP="00DA6CFB">
      <w:pPr>
        <w:pStyle w:val="1"/>
        <w:rPr>
          <w:rtl/>
        </w:rPr>
      </w:pPr>
      <w:bookmarkStart w:id="22" w:name="_Toc444083809"/>
      <w:r>
        <w:rPr>
          <w:rFonts w:hint="cs"/>
          <w:rtl/>
        </w:rPr>
        <w:lastRenderedPageBreak/>
        <w:t>الفصل الثامن:</w:t>
      </w:r>
      <w:r>
        <w:rPr>
          <w:rtl/>
        </w:rPr>
        <w:br/>
      </w:r>
      <w:r w:rsidRPr="00C3442C">
        <w:rPr>
          <w:rFonts w:hint="cs"/>
          <w:rtl/>
        </w:rPr>
        <w:t>التيارات المطالبة بإعادة النظر في عقائد الشيعة</w:t>
      </w:r>
      <w:bookmarkEnd w:id="22"/>
    </w:p>
    <w:p w:rsidR="00DA6CFB" w:rsidRPr="0055112B" w:rsidRDefault="00DA6CFB" w:rsidP="0092648A">
      <w:pPr>
        <w:pStyle w:val="2"/>
        <w:rPr>
          <w:rtl/>
        </w:rPr>
      </w:pPr>
      <w:bookmarkStart w:id="23" w:name="_Toc444083810"/>
      <w:r w:rsidRPr="0055112B">
        <w:rPr>
          <w:rFonts w:hint="cs"/>
          <w:rtl/>
        </w:rPr>
        <w:t>الخلفيات</w:t>
      </w:r>
      <w:bookmarkEnd w:id="23"/>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ينبغي أن ننتبه إلى أن كثيرًا من التيارات المطالبة بإعادة النظر في عقائد الشيعة كانت وما تزال تدَّعي الإصلاح الديني. ولكن هذا لا يعني، بالطبع، أنها مصيبة بالضرورة فيما ترمي إليه. في الحقيقة إن كثيرًا من الحركات الفكرية والسياسية التي تدعي الإصلاح الديني عبارة عن تيارات تسعى </w:t>
      </w:r>
      <w:r>
        <w:rPr>
          <w:rFonts w:cs="Times New Roman" w:hint="cs"/>
          <w:rtl/>
          <w:lang w:bidi="ar-SY"/>
        </w:rPr>
        <w:t>–</w:t>
      </w:r>
      <w:r w:rsidRPr="0092648A">
        <w:rPr>
          <w:rStyle w:val="Char"/>
          <w:rFonts w:hint="cs"/>
          <w:rtl/>
        </w:rPr>
        <w:t xml:space="preserve"> عن عِلْمٍ أو دون عِلْم </w:t>
      </w:r>
      <w:r>
        <w:rPr>
          <w:rFonts w:cs="Times New Roman" w:hint="cs"/>
          <w:rtl/>
          <w:lang w:bidi="ar-SY"/>
        </w:rPr>
        <w:t>–</w:t>
      </w:r>
      <w:r w:rsidRPr="0092648A">
        <w:rPr>
          <w:rStyle w:val="Char"/>
          <w:rFonts w:hint="cs"/>
          <w:rtl/>
        </w:rPr>
        <w:t xml:space="preserve"> إلى إعادة نظر جذرية وإحداث تغييرات أساسية في الأصول العقائدية، أي الأصول التي شكَّلت - استنادًا إلى العرف العلمي والعملي - الأسس الاعتقادية والدينية للمسلمين على مدى ألف سنة. لقد شاعت في هذا المجال، طيلة قرن ونصف، في إيران وفي سائر البلدان الإسلامية، مصطلحات مثل «الإصلاح» و«تجديد الفكر الديني» [أو «تجديد الخطاب الديني»] و«المطالبة بإعادة النظر»، [وإعادة بناء الفكر الديني] .... وعبارات من هذا القبيل، وكان لها في كل مورد وفي كل إطار تعريفٌ وأصولٌ وإبهاماتٌ خاصّةٌ بها.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بعد عصر النهضة الدستورية في إيران،</w:t>
      </w:r>
      <w:r w:rsidRPr="006E28E9">
        <w:rPr>
          <w:rStyle w:val="Char"/>
          <w:rFonts w:ascii="Arabic11 BT" w:hAnsi="Arabic11 BT" w:cs="Arabic11 BT"/>
          <w:vertAlign w:val="superscript"/>
          <w:rtl/>
        </w:rPr>
        <w:footnoteReference w:id="175"/>
      </w:r>
      <w:r w:rsidRPr="0092648A">
        <w:rPr>
          <w:rStyle w:val="Char"/>
          <w:rFonts w:hint="cs"/>
          <w:rtl/>
        </w:rPr>
        <w:t xml:space="preserve"> لاسيما في عصر [الشاه] رضا خان [بهلوي]، بدأت النشاطات المعادية للدين بانتقاد الدين تحت شعار محاربة الخرافات وإزالتها من الثقافة العامة. انطلقت تلك الانتقادات أحيانًا مِنْ قِبَلِ عناصر صديقة ومن دوافع داخلية، وانطلقت أحيانًا أخرى </w:t>
      </w:r>
      <w:r w:rsidRPr="0092648A">
        <w:rPr>
          <w:rStyle w:val="Char"/>
          <w:rFonts w:hint="cs"/>
          <w:rtl/>
        </w:rPr>
        <w:lastRenderedPageBreak/>
        <w:t>من ضغط الأفكار الأجنبية، وكانت مواصلةً للنفوذ الفكري الأجنبي. وكان الأمر الذي ظهر في ذلك العصر، انتقاد الدين بشكل متطرِّف مِنْ قِبَلِ أشخاص كان لدى أغلبهم اعتراض على أصل الدين ذاته وجوهره، إذْ كانوا من أنصار العلمانية الغربية وأفكار الفلسفة الوضعية. ولكي يعطي هؤلاء الأشخاص المشروعية لنشاطهم ومحاربتهم للدين كانوا يصوّرون تلك المحاربة على أنها محاربة للخرافات، ولكي يبهموا على الناس فهم حقيقة هدفهم، كانوا يحرصون على عدم بيان الحدود الفاصلة بين الخرافات وبين حقائق الدين وشعائره.</w:t>
      </w:r>
      <w:r w:rsidRPr="006E28E9">
        <w:rPr>
          <w:rStyle w:val="Char"/>
          <w:rFonts w:ascii="Arabic11 BT" w:hAnsi="Arabic11 BT" w:cs="Arabic11 BT"/>
          <w:vertAlign w:val="superscript"/>
          <w:rtl/>
        </w:rPr>
        <w:footnoteReference w:id="176"/>
      </w:r>
    </w:p>
    <w:p w:rsidR="00DA6CFB" w:rsidRDefault="00DA6CFB" w:rsidP="0092648A">
      <w:pPr>
        <w:widowControl w:val="0"/>
        <w:spacing w:line="216" w:lineRule="auto"/>
        <w:ind w:firstLine="284"/>
        <w:jc w:val="both"/>
        <w:rPr>
          <w:rFonts w:cs="Times New Roman"/>
          <w:rtl/>
          <w:lang w:bidi="ar-SY"/>
        </w:rPr>
      </w:pPr>
      <w:r w:rsidRPr="0092648A">
        <w:rPr>
          <w:rStyle w:val="Char"/>
          <w:rFonts w:hint="cs"/>
          <w:rtl/>
        </w:rPr>
        <w:t>كان [المَلِك] رضا شاه ذاته يدافع عن هذا الموقف أحيانًا في الخطابات العامة التي كانت تُنَظَّم له. ففي الكلمة التي نُقِلَت عنه في مناسبة يوم الغدير عام 1355هـ.ق/1315هـ.ش قال: «يخطئ كثيرٌ من الناس عندما يتصورون أن التجديد والانفتاح على الحضارة الحديثة يعني إهمال أصول الدين والتنكُّر لشريعته، أو أن التجديد والتمدُّن يتعارضان مع الدين والمذهب، في حين أنه لو كان شارع الإسلام العظيم موجودًا في عصرنا ورأى هذا التقدم الذي حصل في العالم، لأظهر توافق أصول شريعته الحقة مع أوضاع الحضارة الحديثة وتنظيماتها»</w:t>
      </w:r>
      <w:r>
        <w:rPr>
          <w:rFonts w:cs="Times New Roman" w:hint="cs"/>
          <w:rtl/>
          <w:lang w:bidi="ar-SY"/>
        </w:rPr>
        <w:t>.</w:t>
      </w:r>
      <w:r w:rsidRPr="006E28E9">
        <w:rPr>
          <w:rStyle w:val="FootnoteReference"/>
          <w:rFonts w:ascii="Arabic11 BT" w:hAnsi="Arabic11 BT" w:cs="Arabic11 BT"/>
          <w:rtl/>
        </w:rPr>
        <w:footnoteReference w:id="177"/>
      </w:r>
    </w:p>
    <w:p w:rsidR="00DA6CFB" w:rsidRPr="0092648A" w:rsidRDefault="00DA6CFB" w:rsidP="0092648A">
      <w:pPr>
        <w:widowControl w:val="0"/>
        <w:spacing w:line="216" w:lineRule="auto"/>
        <w:ind w:firstLine="284"/>
        <w:jc w:val="both"/>
        <w:rPr>
          <w:rStyle w:val="Char"/>
          <w:rtl/>
        </w:rPr>
      </w:pPr>
      <w:r w:rsidRPr="0092648A">
        <w:rPr>
          <w:rStyle w:val="Char"/>
          <w:rFonts w:hint="cs"/>
          <w:rtl/>
        </w:rPr>
        <w:t>وُجِدَت في عصر [الشاه] رضا خان [بهلوي]، بالتزامن مع بلوغ التأثُّر بالغرب والرغبة بتقليده، ذروته، حركةٌ ترفع شعار محاربة الخرافات. وكان تعريف الخرافة يتفاوت بالطبع لدى مختلف الأفراد الناشطين في تلك الحركة. بذل المُتَغَرِّبون في ذلك الزمن مساعي حثيثة لتحقيق أهدافهم، وجعلوا من محاربة الخرافات قيمة ثقافية في المجتمع. فعلى سبيل المثال ألّف «رضا زاده شفق» كتابًا يحمل عنوان «</w:t>
      </w:r>
      <w:r w:rsidRPr="008C7124">
        <w:rPr>
          <w:rStyle w:val="Char7"/>
          <w:rFonts w:hint="cs"/>
          <w:rtl/>
        </w:rPr>
        <w:t>محاربة الخرافات</w:t>
      </w:r>
      <w:r w:rsidRPr="0092648A">
        <w:rPr>
          <w:rStyle w:val="Char"/>
          <w:rFonts w:hint="cs"/>
          <w:rtl/>
        </w:rPr>
        <w:t>».</w:t>
      </w:r>
      <w:r w:rsidRPr="006E28E9">
        <w:rPr>
          <w:rStyle w:val="Char"/>
          <w:rFonts w:ascii="Arabic11 BT" w:hAnsi="Arabic11 BT" w:cs="Arabic11 BT"/>
          <w:vertAlign w:val="superscript"/>
          <w:rtl/>
        </w:rPr>
        <w:footnoteReference w:id="17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وعن طريق هؤلاء انجرّت حركة محاربة الخرافات إلى محاربة الدين ومظاهره ومحاربة الطقوس والشعائر المذهبية. وقد رأينا في الأقسام الأولى من الكتاب أن بعض المنظمات الدينية الإيجابية جعلت محاربة الخرافات على رأس برنامجها الديني. في الواقع، تُعَدُّ كلمة «خرافة» أحد المصطلحات الدينية </w:t>
      </w:r>
      <w:r w:rsidRPr="0092648A">
        <w:rPr>
          <w:rStyle w:val="Char"/>
          <w:rFonts w:hint="cs"/>
          <w:rtl/>
        </w:rPr>
        <w:lastRenderedPageBreak/>
        <w:t>المفتاحية في عصر [الشاه] رضا خان وما بعده. في تذكير مختصر للمرحوم الحاج سراج الأنصاري والذي نشر في مجلة (</w:t>
      </w:r>
      <w:r w:rsidRPr="0092648A">
        <w:rPr>
          <w:rStyle w:val="Char8"/>
          <w:rFonts w:hint="cs"/>
          <w:rtl/>
        </w:rPr>
        <w:t>آ</w:t>
      </w:r>
      <w:r w:rsidR="008C7124">
        <w:rPr>
          <w:rStyle w:val="Char8"/>
          <w:rFonts w:hint="cs"/>
          <w:rtl/>
        </w:rPr>
        <w:t>یی</w:t>
      </w:r>
      <w:r w:rsidRPr="0092648A">
        <w:rPr>
          <w:rStyle w:val="Char8"/>
          <w:rFonts w:hint="cs"/>
          <w:rtl/>
        </w:rPr>
        <w:t>ن اسلام</w:t>
      </w:r>
      <w:r w:rsidRPr="0092648A">
        <w:rPr>
          <w:rStyle w:val="Char"/>
          <w:rFonts w:hint="cs"/>
          <w:rtl/>
        </w:rPr>
        <w:t>) (أي: شريعة الإسلام) تم التأكيد على أن «كل جمعيةٍ جعلت هدفَها محاربةَ الخرافات» وأنه «نحن أيضًا من الذين يعتبرون أن محاربة الخرافات والاعتراض عليها أمرًا واجبًا». ولكن عندما لا يتضح معنى الخرافة فإن الكلام حول هذا الموضوع «لن يكون سوى إضاعة للوقت». لقد طلب الحاج سراج في هذا الاقتراح - الذي نُشِرَ في مجلة «</w:t>
      </w:r>
      <w:r w:rsidRPr="0092648A">
        <w:rPr>
          <w:rStyle w:val="Char8"/>
          <w:rFonts w:hint="cs"/>
          <w:rtl/>
        </w:rPr>
        <w:t>آ</w:t>
      </w:r>
      <w:r w:rsidR="008C7124">
        <w:rPr>
          <w:rStyle w:val="Char8"/>
          <w:rFonts w:hint="cs"/>
          <w:rtl/>
        </w:rPr>
        <w:t>یی</w:t>
      </w:r>
      <w:r w:rsidRPr="0092648A">
        <w:rPr>
          <w:rStyle w:val="Char8"/>
          <w:rFonts w:hint="cs"/>
          <w:rtl/>
        </w:rPr>
        <w:t>ن اسلام</w:t>
      </w:r>
      <w:r w:rsidRPr="0092648A">
        <w:rPr>
          <w:rStyle w:val="Char"/>
          <w:rFonts w:hint="cs"/>
          <w:rtl/>
        </w:rPr>
        <w:t>» في مطلع 1325هـ.ش - من العلماء، أن يكتبوا ويبيِّنوا وجهات نظرهم حول الخرافة ومعناها ومصاديقها.</w:t>
      </w:r>
      <w:r w:rsidRPr="006E28E9">
        <w:rPr>
          <w:rStyle w:val="Char"/>
          <w:rFonts w:ascii="Arabic11 BT" w:hAnsi="Arabic11 BT" w:cs="Arabic11 BT"/>
          <w:vertAlign w:val="superscript"/>
          <w:rtl/>
        </w:rPr>
        <w:footnoteReference w:id="179"/>
      </w:r>
    </w:p>
    <w:p w:rsidR="00DA6CFB" w:rsidRPr="0092648A" w:rsidRDefault="00DA6CFB" w:rsidP="0092648A">
      <w:pPr>
        <w:widowControl w:val="0"/>
        <w:spacing w:line="216" w:lineRule="auto"/>
        <w:ind w:firstLine="284"/>
        <w:jc w:val="both"/>
        <w:rPr>
          <w:rStyle w:val="Char"/>
          <w:rtl/>
        </w:rPr>
      </w:pPr>
      <w:r w:rsidRPr="0092648A">
        <w:rPr>
          <w:rStyle w:val="Char"/>
          <w:rFonts w:hint="cs"/>
          <w:rtl/>
        </w:rPr>
        <w:t>ظهر في الساحة الفكرية لإيران، خلال فترة الحكم الملكي البهلوي، عددٌ من الأشخاص ذوو الميول الفكرية الخاصة التي تؤكد على ضرورة التصحيح والإصلاح في الدين والمذهب.</w:t>
      </w:r>
    </w:p>
    <w:p w:rsidR="00DA6CFB" w:rsidRPr="00E4364C" w:rsidRDefault="00DA6CFB" w:rsidP="0092648A">
      <w:pPr>
        <w:widowControl w:val="0"/>
        <w:spacing w:line="216" w:lineRule="auto"/>
        <w:ind w:firstLine="284"/>
        <w:jc w:val="both"/>
        <w:rPr>
          <w:rStyle w:val="Char"/>
          <w:spacing w:val="-2"/>
          <w:rtl/>
        </w:rPr>
      </w:pPr>
      <w:r w:rsidRPr="00E4364C">
        <w:rPr>
          <w:rStyle w:val="Char"/>
          <w:rFonts w:hint="cs"/>
          <w:spacing w:val="-2"/>
          <w:rtl/>
        </w:rPr>
        <w:t xml:space="preserve">كان كثير من أولئك الأفراد من زمرة رجال الدين الذين انضموا إلى جماعة المطالبين بالإصلاح والتجديد في الدين بعد أن تأثّروا بشكل تدريجي بثقافة التجديد والعصرنة التي انتشرت في عصر النهضة الدستورية وما بعدها، وكان أولـئك الأفراد حريصين على الإسلام ومشفقين صادقين عليه. </w:t>
      </w:r>
      <w:r w:rsidRPr="00E4364C">
        <w:rPr>
          <w:rStyle w:val="Char"/>
          <w:rFonts w:hint="cs"/>
          <w:spacing w:val="-4"/>
          <w:rtl/>
        </w:rPr>
        <w:t xml:space="preserve">على سبيل المثال يمكننا أن نذكر السيد أحمد المهذب الشيرازي (1301 </w:t>
      </w:r>
      <w:r w:rsidRPr="00E4364C">
        <w:rPr>
          <w:rFonts w:cs="Times New Roman" w:hint="cs"/>
          <w:spacing w:val="-4"/>
          <w:rtl/>
          <w:lang w:bidi="ar-SY"/>
        </w:rPr>
        <w:t>–</w:t>
      </w:r>
      <w:r w:rsidRPr="00E4364C">
        <w:rPr>
          <w:rStyle w:val="Char"/>
          <w:rFonts w:hint="cs"/>
          <w:spacing w:val="-4"/>
          <w:rtl/>
        </w:rPr>
        <w:t xml:space="preserve"> 1373هـ.ق) عالم الدين والمترجم. كان طالبًا للعلوم الدينية في المدرسة المنصورية في مدينة شيراز، ثم أصبح ممثلًا عن مدينة شيراز في مجلس الشورى الوطني (البرلمان) وأستاذًا في جامعة المعقول والمنقول في طهران. وقد ترجم كتابَين لقاسم أمين في نقد الحجاب. وطُبِع الكتابان بأمر ودعم من وزارة المعارف في عهد حكم رضا شاه. كما قام في مطلع سنة 1320هـ.ش بترجمة كتاب «</w:t>
      </w:r>
      <w:r w:rsidRPr="008C7124">
        <w:rPr>
          <w:rStyle w:val="Char7"/>
          <w:rFonts w:hint="cs"/>
          <w:rtl/>
        </w:rPr>
        <w:t>حاضر العالم الإسلامي</w:t>
      </w:r>
      <w:r w:rsidRPr="00E4364C">
        <w:rPr>
          <w:rStyle w:val="Char"/>
          <w:rFonts w:hint="cs"/>
          <w:spacing w:val="-4"/>
          <w:rtl/>
        </w:rPr>
        <w:t>» لشكيب أرسلان وطباعته.</w:t>
      </w:r>
    </w:p>
    <w:p w:rsidR="00DA6CFB" w:rsidRPr="0092648A" w:rsidRDefault="00DA6CFB" w:rsidP="0092648A">
      <w:pPr>
        <w:widowControl w:val="0"/>
        <w:spacing w:line="216" w:lineRule="auto"/>
        <w:ind w:firstLine="284"/>
        <w:jc w:val="both"/>
        <w:rPr>
          <w:rStyle w:val="Char"/>
          <w:rtl/>
        </w:rPr>
      </w:pPr>
      <w:r w:rsidRPr="0092648A">
        <w:rPr>
          <w:rStyle w:val="Char"/>
          <w:rFonts w:hint="cs"/>
          <w:rtl/>
        </w:rPr>
        <w:t>لا شك أن أفكار أولئك الأفراد [المنادين بضرورة التصحيح والإصلاح في الدين والمذهب] ووجهات نظرهم حول المسائل [الدينية والمذهبية] المختلفة لم تكن متطابقة. لكن يمكننا أن نجمعهم في بوتقة واحدة إذا اعتمدنا أساسًا أصوليًّا خاصًّا. هذه المجموعة من الأفراد، الذين ما يزال جيلٌ منهم يواصل نشاطه حتى اليوم ضمن الأطر السابقة مع التأكيد أحيانًا على بعض الأمور الجديدة، يمكن أن يكون لديهم الخصائص الآتية:</w:t>
      </w:r>
    </w:p>
    <w:p w:rsidR="00DA6CFB" w:rsidRPr="0092648A" w:rsidRDefault="00DA6CFB" w:rsidP="00E4364C">
      <w:pPr>
        <w:widowControl w:val="0"/>
        <w:spacing w:line="214" w:lineRule="auto"/>
        <w:ind w:firstLine="284"/>
        <w:jc w:val="both"/>
        <w:rPr>
          <w:rStyle w:val="Char"/>
          <w:rtl/>
        </w:rPr>
      </w:pPr>
      <w:r w:rsidRPr="0092648A">
        <w:rPr>
          <w:rStyle w:val="Char"/>
          <w:rFonts w:hint="cs"/>
          <w:rtl/>
        </w:rPr>
        <w:t xml:space="preserve">1- إحدى خصائصهم الأساسية ومواصفاتهم البارزة: انفصالهم وابتعادهم - في بُعْدِهِمُ الفكري ومعرفتهم الدينية - عن المرجعية الدينية الرسمية وعن مؤسسة رجال الدين، هذا من جهة، وعدم قبول زعامة رجال الدين من الجهة الأخرى. هذه الخاصية جرّت معظم الأفراد المطالبين </w:t>
      </w:r>
      <w:r w:rsidRPr="0092648A">
        <w:rPr>
          <w:rStyle w:val="Char"/>
          <w:rFonts w:hint="cs"/>
          <w:rtl/>
        </w:rPr>
        <w:lastRenderedPageBreak/>
        <w:t>بإعادة النظر في العقائد الموروثة إلى محاربة مؤسسة علماء الدين، على نحو جعل بعضهم يضع أصل وجود هذه المؤسسة الرسمية ومشروعيتها موضع سؤال. نجد هذه الأدبيات في آثار الدكتور شريعتي أكثر من أي مكان آخر، ولكن قبل ذلك فإن محاربة مؤسسة علماء الدين منذ عهد رضا خان فما بعد كانت سُنَّةً شائعةً في أدبيات التنوير والثقافة العصرية، حتى في نوعها الديني. ومن المناسب هنا أن أنقل نموذجًا عن هذه الأفكار. كتب أحد أنصار السيد جواد غروي في أصفهان في كتاب له عنوانه «</w:t>
      </w:r>
      <w:r w:rsidR="008C7124">
        <w:rPr>
          <w:rStyle w:val="Char8"/>
          <w:rFonts w:hint="cs"/>
          <w:rtl/>
        </w:rPr>
        <w:t>ک</w:t>
      </w:r>
      <w:r w:rsidRPr="0092648A">
        <w:rPr>
          <w:rStyle w:val="Char8"/>
          <w:rFonts w:hint="cs"/>
          <w:rtl/>
        </w:rPr>
        <w:t>دام قرآن</w:t>
      </w:r>
      <w:r w:rsidRPr="0092648A">
        <w:rPr>
          <w:rStyle w:val="Char"/>
          <w:rFonts w:hint="cs"/>
          <w:rtl/>
        </w:rPr>
        <w:t>؟» (أيُّ قرآن؟) يقول: «ينبغي علينا أن نقوم بعملٍ ما. وليس أمامنا عملٌ أكثر أهمية من إنقاذ الإسلام من براثن القائمين عليه من رجال الدين وصُنّاع المذهب المحترفين، وكما كتبنا في موضع آخر، سيكون من الخطأ المحض والاشتباه التام، في هذا العمل والطريق، أن نأمل أي شيء من هؤلاء الفقهاء والعلماء والآيات العظام ومراجع التقليد والمفتين المذهبيين، حتى ولو بقدر اعتبارهم عدوًّا عالمًا، أو أن ننتظر موافقتهم لنا وتماشيهم مع ما نقوله، لأن كل ما تحملناه وأُصِبْنا به ولا نزال نعاني منه طول تاريخ الإسلام كان ولا يزال بسبب هؤلاء».</w:t>
      </w:r>
      <w:r w:rsidRPr="006E28E9">
        <w:rPr>
          <w:rStyle w:val="Char"/>
          <w:rFonts w:ascii="Arabic11 BT" w:hAnsi="Arabic11 BT" w:cs="Arabic11 BT"/>
          <w:vertAlign w:val="superscript"/>
          <w:rtl/>
        </w:rPr>
        <w:footnoteReference w:id="180"/>
      </w:r>
    </w:p>
    <w:p w:rsidR="00DA6CFB" w:rsidRPr="0092648A" w:rsidRDefault="00DA6CFB" w:rsidP="00E4364C">
      <w:pPr>
        <w:widowControl w:val="0"/>
        <w:spacing w:line="214" w:lineRule="auto"/>
        <w:ind w:firstLine="284"/>
        <w:jc w:val="both"/>
        <w:rPr>
          <w:rStyle w:val="Char"/>
          <w:rtl/>
        </w:rPr>
      </w:pPr>
      <w:r w:rsidRPr="0092648A">
        <w:rPr>
          <w:rStyle w:val="Char"/>
          <w:rFonts w:hint="cs"/>
          <w:rtl/>
        </w:rPr>
        <w:t xml:space="preserve">2 </w:t>
      </w:r>
      <w:r w:rsidRPr="0092648A">
        <w:rPr>
          <w:rStyle w:val="Char"/>
          <w:rFonts w:ascii="Times New Roman" w:hAnsi="Times New Roman" w:cs="Times New Roman" w:hint="cs"/>
          <w:rtl/>
        </w:rPr>
        <w:t>–</w:t>
      </w:r>
      <w:r w:rsidRPr="0092648A">
        <w:rPr>
          <w:rStyle w:val="Char"/>
          <w:rFonts w:hint="cs"/>
          <w:rtl/>
        </w:rPr>
        <w:t xml:space="preserve"> الخاصية الأخرى لدعاة التصحيح والتجديد هؤلاء، تأثرهم بالنظرة الوهابية التي حاربت كثيرًا من المظاهر المذهبية في إطار ادعاء الإصلاح ومحاربة الخرافات. ولا ريب أن هناك موضوعات وأمور محقة أيضًا في هذا المجال يقبل بها حتى مراجع التقليد [الشيعة] أنفسهم؛ لكن طرح تلك الأمور بشكل متطرِّف كان من خصائص هذا التيار، ولا شك أيضًا أنّ توجيه تهمة التسنن والوهابية إلى هؤلاء الأفراد كثيرًا ما افتقر إلى الدليل ولم يكن سوى تهمة لا أساس لها من الصحة، يوجِّهها في الغالب أشخاص أشربوا في قلوبهم حب بعض الشعائر والطقوس الشيعية وتعلقوا بها بشكل ملك عليهم جوانحهم. فعلى سبيل المثال، لقد وُجِّهَت تلك التهمة إلى الدكتور علي شريعتي الذي كانت أفكاره الإصلاحية تنصب في الغالب تجاه بعض الموضوعات التي أظهرها في مجال الإمامة والتي كان يعتقد بها في زمن من الأزمان.</w:t>
      </w:r>
      <w:r w:rsidRPr="006E28E9">
        <w:rPr>
          <w:rStyle w:val="Char"/>
          <w:rFonts w:ascii="Arabic11 BT" w:hAnsi="Arabic11 BT" w:cs="Arabic11 BT"/>
          <w:vertAlign w:val="superscript"/>
          <w:rtl/>
        </w:rPr>
        <w:footnoteReference w:id="181"/>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كانت تلك نقطة أنكرها فيما بعد الأستاذ مطهري والمهندس بازرگان في رسالة مشتركة. فقد جاء في تلك الرسالة: «إننا نعتقد أن نسبة تلك الأمور إليه [أي إلى الدكتور علي شريعتي]، مثل نسبة التسنن والوهابية إليه، لا أساس لها من الصحة».</w:t>
      </w:r>
      <w:r w:rsidRPr="006E28E9">
        <w:rPr>
          <w:rStyle w:val="Char"/>
          <w:rFonts w:ascii="Arabic11 BT" w:hAnsi="Arabic11 BT" w:cs="Arabic11 BT"/>
          <w:vertAlign w:val="superscript"/>
          <w:rtl/>
        </w:rPr>
        <w:footnoteReference w:id="182"/>
      </w:r>
      <w:r w:rsidRPr="0092648A">
        <w:rPr>
          <w:rStyle w:val="Char"/>
          <w:rFonts w:hint="cs"/>
          <w:rtl/>
        </w:rPr>
        <w:t xml:space="preserve"> ولا شك أن الاتهام بالوهابية كان يوجِّهُهُ أشخاصٌ لا يرغبون بأي نحو من الأنحاء أن يخرجوا عن الإطار الرسمي للمذهب الذي فرضت كثيرًا منه الأعرافُ الموروثةُ من العهود السابقة. لقد كان اللذين يكيلون تلك التهم يرون حتى الإمام الخميني والأستاذ مطهري ضمن هذا الإطار،</w:t>
      </w:r>
      <w:r w:rsidRPr="006E28E9">
        <w:rPr>
          <w:rStyle w:val="Char"/>
          <w:rFonts w:ascii="Arabic11 BT" w:hAnsi="Arabic11 BT" w:cs="Arabic11 BT"/>
          <w:vertAlign w:val="superscript"/>
          <w:rtl/>
        </w:rPr>
        <w:footnoteReference w:id="183"/>
      </w:r>
      <w:r w:rsidRPr="0092648A">
        <w:rPr>
          <w:rStyle w:val="Char"/>
          <w:rFonts w:hint="cs"/>
          <w:rtl/>
        </w:rPr>
        <w:t xml:space="preserve"> وينتقدون كل نمط من أنماط التحرُّك الثوري والإصلاحي ويتّهمونه بتلك التهمة.</w:t>
      </w:r>
      <w:r w:rsidRPr="006E28E9">
        <w:rPr>
          <w:rStyle w:val="Char"/>
          <w:rFonts w:ascii="Arabic11 BT" w:hAnsi="Arabic11 BT" w:cs="Arabic11 BT"/>
          <w:vertAlign w:val="superscript"/>
          <w:rtl/>
        </w:rPr>
        <w:footnoteReference w:id="184"/>
      </w:r>
      <w:r w:rsidRPr="0092648A">
        <w:rPr>
          <w:rStyle w:val="Char"/>
          <w:rFonts w:hint="cs"/>
          <w:rtl/>
        </w:rPr>
        <w:t xml:space="preserve"> ومن العجيب أن بعض أولئك الأفراد [الذين كانوا يُتَّهَمون بالتسنن أو الوهابية]، كانوا يُتَّهَمون مِنْ قِبَلِ أهل السنة بأنهم من الشيعة المتعَصِّبين الغلاة! بيد أن الوهابيين من أهل السنة أدركوا مؤخَّرًا دور بعض الإصلاحيين المتطرّفين من الشيعة، وأخذوا يقومون بدعمهم وتقويتهم كي يضغطوا أكثر على مجتمع الشيعة.</w:t>
      </w:r>
      <w:r w:rsidRPr="006E28E9">
        <w:rPr>
          <w:rStyle w:val="Char"/>
          <w:rFonts w:ascii="Arabic11 BT" w:hAnsi="Arabic11 BT" w:cs="Arabic11 BT"/>
          <w:vertAlign w:val="superscript"/>
          <w:rtl/>
        </w:rPr>
        <w:footnoteReference w:id="185"/>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3- الخاصية [الثالثة] لدعاة التصحيح وإعادة النظر هؤلاء، تأثّرهم بالوهابيين من ناحية،</w:t>
      </w:r>
      <w:r w:rsidRPr="006E28E9">
        <w:rPr>
          <w:rStyle w:val="Char"/>
          <w:rFonts w:ascii="Arabic11 BT" w:hAnsi="Arabic11 BT" w:cs="Arabic11 BT"/>
          <w:vertAlign w:val="superscript"/>
          <w:rtl/>
        </w:rPr>
        <w:footnoteReference w:id="186"/>
      </w:r>
      <w:r w:rsidRPr="0092648A">
        <w:rPr>
          <w:rStyle w:val="Char"/>
          <w:rFonts w:hint="cs"/>
          <w:rtl/>
        </w:rPr>
        <w:t xml:space="preserve"> وانتهاجهم من الناحية الأخرى لنوع من العقلانية الغربية. أي أنهم امتداد ومواصلة لتيار العقلانية الغربي ويطرحون قضاياهم من هذا المنطلق. وبعبارة أخرى إنهم سلفيون من نوع جديد أكثر من كونهم وهابيين من النوع النجدي المتأثر بالحركة التي نشأت في شبه الجزيرة العربية، أو من كونهم مصلحين شيعيين حقيقيين من المعتدلين الذين كانوا موجودين منذ القديم في المجتمع الشيعي.</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4- من أركان ادعاءات أصحاب هذا التيار نزعتهم القرآنية، ويوازي ذلك إهمالهم للحديث وعدم اعتنائهم به. أمَّا مسألة هل أنهم صادقون في قرآنيتهم هذه أم لا؟ وهل نزعتهم القرآنية هذه تتطابق مع المبادئ والأصول المقبولة لدى الشيعة (وحتى لدى السنة) أم لا؟ فهو أمر لابد من بحثه والتحقيق فيه. وكنموذج لنتائج هذه النزعة القرآنية على ما يؤمنون به من أفكار، قولهم -في باب </w:t>
      </w:r>
      <w:r w:rsidRPr="0092648A">
        <w:rPr>
          <w:rStyle w:val="Char"/>
          <w:rFonts w:hint="cs"/>
          <w:rtl/>
        </w:rPr>
        <w:lastRenderedPageBreak/>
        <w:t>صلاة الجمعة- بالوجوب العيني لصلاة الجمعة في كل العصور تمسُّكًا بظاهر القرآن وما جاء في نص الآية في سورة الجمعة في هذا الصدد، وعدم التفاتهم كثيرًا إلى الأحاديث الواردة في هذا الخصوص. وقولهم في مسألة الخمس بعدم ثبوت الخمس إلا في غنائم الحرب، وإنكارهم ما جاء في هذا المجال في الروايات أو تفسيرهم له على نحو آخر كأن يجعلوه متطابقًا مع الزكاة. ويَبْرُزُ أكثرُ الأنماط تطرُّفًا لهذه النزعة القرآنية في آثار الدكتور محمد صادقي الذي لا نجد لفتاواه وأقواله سابقة في تاريخ فقه الشيعة والسنة كله.</w:t>
      </w:r>
      <w:r w:rsidRPr="006E28E9">
        <w:rPr>
          <w:rStyle w:val="Char"/>
          <w:rFonts w:ascii="Arabic11 BT" w:hAnsi="Arabic11 BT" w:cs="Arabic11 BT"/>
          <w:vertAlign w:val="superscript"/>
          <w:rtl/>
        </w:rPr>
        <w:footnoteReference w:id="187"/>
      </w:r>
      <w:r w:rsidRPr="0092648A">
        <w:rPr>
          <w:rStyle w:val="Char"/>
          <w:rFonts w:hint="cs"/>
          <w:rtl/>
        </w:rPr>
        <w:t xml:space="preserve"> وبالطبع، تتمحور بعض هذه النَّزَعَات حول العِلْمَوية [أي حصر الإيمان بما يتوافق مع معطيات العلم المادي الحديث فقط] والإيمان بالمذهب التجريبي [أي بما تثبته التجارب المادية فقط]، ويمكن أن نشير من جملة ذلك إلى مؤلف كتاب «</w:t>
      </w:r>
      <w:r w:rsidRPr="0092648A">
        <w:rPr>
          <w:rStyle w:val="Char8"/>
          <w:rFonts w:hint="cs"/>
          <w:rtl/>
        </w:rPr>
        <w:t>مفهوم</w:t>
      </w:r>
      <w:r w:rsidR="008C7124">
        <w:rPr>
          <w:rStyle w:val="Char8"/>
          <w:rFonts w:hint="cs"/>
          <w:rtl/>
        </w:rPr>
        <w:t xml:space="preserve"> واژه‌ها</w:t>
      </w:r>
      <w:r w:rsidRPr="0092648A">
        <w:rPr>
          <w:rStyle w:val="Char8"/>
          <w:rFonts w:hint="cs"/>
          <w:rtl/>
        </w:rPr>
        <w:t>ى از قرآن</w:t>
      </w:r>
      <w:r w:rsidRPr="0092648A">
        <w:rPr>
          <w:rStyle w:val="Char"/>
          <w:rFonts w:hint="cs"/>
          <w:rtl/>
        </w:rPr>
        <w:t>» الذي فسَّر قصة إبراهيم والطيور تفسيرًا رمزيًّا تمامًا وأنكر صورتها التاريخية من الأساس.</w:t>
      </w:r>
      <w:r w:rsidRPr="006E28E9">
        <w:rPr>
          <w:rStyle w:val="Char"/>
          <w:rFonts w:ascii="Arabic11 BT" w:hAnsi="Arabic11 BT" w:cs="Arabic11 BT"/>
          <w:vertAlign w:val="superscript"/>
          <w:rtl/>
        </w:rPr>
        <w:footnoteReference w:id="188"/>
      </w:r>
    </w:p>
    <w:p w:rsidR="00DA6CFB" w:rsidRPr="0092648A" w:rsidRDefault="00DA6CFB" w:rsidP="0092648A">
      <w:pPr>
        <w:widowControl w:val="0"/>
        <w:spacing w:line="216" w:lineRule="auto"/>
        <w:ind w:firstLine="284"/>
        <w:jc w:val="both"/>
        <w:rPr>
          <w:rStyle w:val="Char"/>
          <w:rtl/>
        </w:rPr>
      </w:pPr>
      <w:r w:rsidRPr="0092648A">
        <w:rPr>
          <w:rStyle w:val="Char"/>
          <w:rFonts w:hint="cs"/>
          <w:rtl/>
        </w:rPr>
        <w:t>5- إيجاد صلات وروابط خاصة بينهم وبين مريديهم وتشكيل حلقات مذهبية خاصة يُعَدُّ أيضًا من الخصائص الاجتماعية لأصحاب هذا التيار، مما يجعلهم في الحقيقة حركة قريبة -بنحو ما- من إيجاد فرقة خاصة، أو قريبة - في شكلها العصري الحديث - من النزوع إلى إيجاد منظمة. وفيما يلي ترجمة عدد من الوجوه البارزة لأصحاب هذا التيار:</w:t>
      </w:r>
    </w:p>
    <w:p w:rsidR="00DA6CFB" w:rsidRDefault="00DA6CFB" w:rsidP="0092648A">
      <w:pPr>
        <w:pStyle w:val="2"/>
        <w:rPr>
          <w:rtl/>
        </w:rPr>
      </w:pPr>
      <w:bookmarkStart w:id="24" w:name="_Toc444083811"/>
      <w:r>
        <w:rPr>
          <w:rFonts w:hint="cs"/>
          <w:rtl/>
        </w:rPr>
        <w:t>1. شريعت سنگلجي</w:t>
      </w:r>
      <w:bookmarkEnd w:id="24"/>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محمد حسن شريعت سنگلجي (وُلِدَ سنة 1269 أو 1271 هـ.ش، الموافق لـ1310 هـ.ق)، المتوفى في 8 محرم 1322 هـ.ش،</w:t>
      </w:r>
      <w:r w:rsidRPr="006E28E9">
        <w:rPr>
          <w:rStyle w:val="Char"/>
          <w:rFonts w:ascii="Arabic11 BT" w:hAnsi="Arabic11 BT" w:cs="Arabic11 BT"/>
          <w:vertAlign w:val="superscript"/>
          <w:rtl/>
        </w:rPr>
        <w:footnoteReference w:id="189"/>
      </w:r>
      <w:r w:rsidRPr="0092648A">
        <w:rPr>
          <w:rStyle w:val="Char"/>
          <w:rFonts w:hint="cs"/>
          <w:rtl/>
        </w:rPr>
        <w:t xml:space="preserve"> من علماء طهران المتنوِّرين العصريين الذي قام منذ حوالي </w:t>
      </w:r>
      <w:r w:rsidRPr="0092648A">
        <w:rPr>
          <w:rStyle w:val="Char"/>
          <w:rFonts w:hint="cs"/>
          <w:rtl/>
        </w:rPr>
        <w:lastRenderedPageBreak/>
        <w:t>1309هـ.ش [1390م] فما بعد، بنشاطات دعوية، وصدر عنه في تلك السنوات سلسلة من الأبحاث حول حرمة الربا جمعها أحد مريديه ويُدْعَى روئين مبشري ونشرها كرسالة في هذا الموضوع. كما قام السيد مبشري ذاته بنشر رسالة عنوانها «</w:t>
      </w:r>
      <w:r w:rsidRPr="008C7124">
        <w:rPr>
          <w:rStyle w:val="Char7"/>
          <w:rFonts w:hint="cs"/>
          <w:rtl/>
        </w:rPr>
        <w:t>الإسلام والموسيقى</w:t>
      </w:r>
      <w:r w:rsidRPr="0092648A">
        <w:rPr>
          <w:rStyle w:val="Char"/>
          <w:rFonts w:hint="cs"/>
          <w:rtl/>
        </w:rPr>
        <w:t>» جمعها من دروس شريعت سنگلجي التي كان يلقيها في أمسيات الخميس سنة 1309هـ.ش. [يوافق 1349هـ.ق /1930م.]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يمكننا أن نستنتج مما قيل حول دروسه أنه رغم الضغوطات التي كانت تمارس في ذلك العصر على علماء الدين، كان مسموحًا له بممارسة النشاط الثقافي ولم تكن دولة [المَلِك] رضا شاه تمارس أي تضييق على دروسه المنبرية في مسجد حيّ سنگلج ثم في دار التبليغ. لقد تتلمذ مدةً على الشيخ عبد النبي نوري وعلى عدد آخر من العلماء وذهب إلى النجف مدةً من الزمن وتكونت لديه تدريجيًّا ميول تجديدية وكان ذلك أمرًا عاديًّا في فترة العشرينيات. وقد ساقه هذا الميل - على حد قوله - إلى محاربة </w:t>
      </w:r>
      <w:r w:rsidRPr="0092648A">
        <w:rPr>
          <w:rStyle w:val="Char"/>
          <w:rFonts w:hint="cs"/>
          <w:rtl/>
        </w:rPr>
        <w:lastRenderedPageBreak/>
        <w:t xml:space="preserve">الخرافات. في البداية كان يمارس نشاطه في مسجد صغير في حي سنگلج لكن بعد انهدامه قام ببناء مكان سماه دار التبليغ في شارع فرهنگ [في طهران] واجتمع حوله فيه جماعة من الشباب والمثقفين العصريين الذين يتفقون معه في أفكاره وكان يلقي فيه، في أمسيات الخميس، دروسًا في التفسير.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شريعت يدَّعي أن دعوته دعوة قرآنية وتوحيدية ومحارِبَة للشرك، وقد اتهمه بعض أصحاب المنابر، لاسيما بعد تاريخ عشرين شهريور،</w:t>
      </w:r>
      <w:r w:rsidRPr="006E28E9">
        <w:rPr>
          <w:rStyle w:val="Char"/>
          <w:rFonts w:ascii="Arabic11 BT" w:hAnsi="Arabic11 BT" w:cs="Arabic11 BT"/>
          <w:vertAlign w:val="superscript"/>
          <w:rtl/>
        </w:rPr>
        <w:footnoteReference w:id="190"/>
      </w:r>
      <w:r w:rsidRPr="0092648A">
        <w:rPr>
          <w:rStyle w:val="Char"/>
          <w:rFonts w:hint="cs"/>
          <w:rtl/>
        </w:rPr>
        <w:t xml:space="preserve"> بالوهابية بسبب التشابه بين بعض أفكاره وأفكار التيار الوهابي. يروي الدكتور محمد جواد مشكور أن شريعت ذهب إلى الحج من قبل الميرزا حسين خان مؤتمن المُلك، وأنه اعتنق الوهابية على إثر قراءته لبعض كتبهم. كما أنه كان من ناحية التفسير متأثرًا بـ [أسد الله] خَرَقاني وأنه استفاد من جلسات دروسه. كما كانت صلته بالشاه رضا خان أمرًا مكشوفًا ومُعْلنًا، كما أن «داوَر» قرأ عليه في فترة من الزمن كتاب </w:t>
      </w:r>
      <w:r w:rsidRPr="008C7124">
        <w:rPr>
          <w:rStyle w:val="Char7"/>
          <w:rFonts w:hint="cs"/>
          <w:rtl/>
        </w:rPr>
        <w:t>تبصرة المتعلّمين</w:t>
      </w:r>
      <w:r w:rsidRPr="0092648A">
        <w:rPr>
          <w:rStyle w:val="Char"/>
          <w:rFonts w:hint="cs"/>
          <w:rtl/>
        </w:rPr>
        <w:t>، حتى أن نشاط «سادات أخوي» في وزارة العدل الجديدة إنما تمّت بتوصية من شريعت سنگلجي.</w:t>
      </w:r>
      <w:r w:rsidRPr="006E28E9">
        <w:rPr>
          <w:rStyle w:val="Char"/>
          <w:rFonts w:ascii="Arabic11 BT" w:hAnsi="Arabic11 BT" w:cs="Arabic11 BT"/>
          <w:vertAlign w:val="superscript"/>
          <w:rtl/>
        </w:rPr>
        <w:footnoteReference w:id="191"/>
      </w:r>
      <w:r w:rsidRPr="0092648A">
        <w:rPr>
          <w:rStyle w:val="Char"/>
          <w:rFonts w:hint="cs"/>
          <w:rtl/>
        </w:rPr>
        <w:t xml:space="preserve"> وعلى كل حال لم تكن نشاطاته الدعوية الحرة في عهد [الشاه] رضا خان،</w:t>
      </w:r>
      <w:r w:rsidRPr="006E28E9">
        <w:rPr>
          <w:rStyle w:val="Char"/>
          <w:rFonts w:ascii="Arabic11 BT" w:hAnsi="Arabic11 BT" w:cs="Arabic11 BT"/>
          <w:vertAlign w:val="superscript"/>
          <w:rtl/>
        </w:rPr>
        <w:footnoteReference w:id="192"/>
      </w:r>
      <w:r w:rsidRPr="0092648A">
        <w:rPr>
          <w:rStyle w:val="Char"/>
          <w:rFonts w:hint="cs"/>
          <w:rtl/>
        </w:rPr>
        <w:t xml:space="preserve"> خافية عن أعين علماء الدين التقليديين المعارضين لرضا خان، ومن جملتهم الإمام الخميني.</w:t>
      </w:r>
      <w:r w:rsidRPr="006E28E9">
        <w:rPr>
          <w:rStyle w:val="Char"/>
          <w:rFonts w:ascii="Arabic11 BT" w:hAnsi="Arabic11 BT" w:cs="Arabic11 BT"/>
          <w:vertAlign w:val="superscript"/>
          <w:rtl/>
        </w:rPr>
        <w:footnoteReference w:id="193"/>
      </w:r>
      <w:r w:rsidRPr="0092648A">
        <w:rPr>
          <w:rStyle w:val="Char"/>
          <w:rFonts w:hint="cs"/>
          <w:rtl/>
        </w:rPr>
        <w:t xml:space="preserve"> كان معظم الذين يحضرون دروسه من المُثَقَّفين </w:t>
      </w:r>
      <w:r w:rsidRPr="0092648A">
        <w:rPr>
          <w:rStyle w:val="Char"/>
          <w:rFonts w:hint="cs"/>
          <w:rtl/>
        </w:rPr>
        <w:lastRenderedPageBreak/>
        <w:t>الدارسين والطلاب العصريين الذين يميلون إلى سماع حديثه وأفكاره في نقد المظاهر الدينية وفي تغريب الدين (أي جعله موافقًا للأفكار الغربية)</w:t>
      </w:r>
      <w:r w:rsidRPr="006E28E9">
        <w:rPr>
          <w:rStyle w:val="Char"/>
          <w:rFonts w:ascii="Arabic11 BT" w:hAnsi="Arabic11 BT" w:cs="Arabic11 BT"/>
          <w:vertAlign w:val="superscript"/>
          <w:rtl/>
        </w:rPr>
        <w:footnoteReference w:id="194"/>
      </w:r>
      <w:r w:rsidRPr="0092648A">
        <w:rPr>
          <w:rStyle w:val="Char"/>
          <w:rFonts w:hint="cs"/>
          <w:rtl/>
        </w:rPr>
        <w:t xml:space="preserve">، وترحيب معظم المطبوعات العصرية في العاصمة </w:t>
      </w:r>
      <w:r w:rsidRPr="0092648A">
        <w:rPr>
          <w:rStyle w:val="Char"/>
          <w:rFonts w:hint="cs"/>
          <w:rtl/>
        </w:rPr>
        <w:lastRenderedPageBreak/>
        <w:t>طهران به بعد وفاته وطباعتها لمقالات في الثناء عليه ومدحه تدل على مكانته لدى جيل المُثَقَّفين والمُتعلِّمين.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الأمور التي قام بها شريعت سنگلجي لإشاعة آرائه المذهبية تأسيسه لما سمي بـ«مكتب قرآن» أي مدرسة القرآن، وتخصيصه بناء سماه دار التبليغ، في شارع فرهنگ [في طهران]. وينبغي الانتباه إلى أن النزعة العامة التي كانت تُميِّز هذه التيارات، أي اعتماد أصحابها الأساسي على القرآن، كانت موجودة لدى شريعت سنگلجي أيضًا، فبالإضافة إلى دروس التفسير التي كان يلقيها بشكل منتظم، فإن كتابه «</w:t>
      </w:r>
      <w:r w:rsidR="008C7124">
        <w:rPr>
          <w:rStyle w:val="Char8"/>
          <w:rFonts w:hint="cs"/>
          <w:rtl/>
        </w:rPr>
        <w:t>ک</w:t>
      </w:r>
      <w:r w:rsidRPr="0092648A">
        <w:rPr>
          <w:rStyle w:val="Char8"/>
          <w:rFonts w:hint="cs"/>
          <w:rtl/>
        </w:rPr>
        <w:t>ل</w:t>
      </w:r>
      <w:r w:rsidR="008C7124">
        <w:rPr>
          <w:rStyle w:val="Char8"/>
          <w:rFonts w:hint="cs"/>
          <w:rtl/>
        </w:rPr>
        <w:t>ی</w:t>
      </w:r>
      <w:r w:rsidRPr="0092648A">
        <w:rPr>
          <w:rStyle w:val="Char8"/>
          <w:rFonts w:hint="cs"/>
          <w:rtl/>
        </w:rPr>
        <w:t>د فهم قرآن</w:t>
      </w:r>
      <w:r w:rsidRPr="0092648A">
        <w:rPr>
          <w:rStyle w:val="Char"/>
          <w:rFonts w:hint="cs"/>
          <w:rtl/>
        </w:rPr>
        <w:t>» [أي مفتاح فهم القرآن] الذي أشرنا إليه في المقدمة يدل على هذه النزعة والميل لديه.</w:t>
      </w:r>
      <w:r w:rsidRPr="006E28E9">
        <w:rPr>
          <w:rStyle w:val="Char"/>
          <w:rFonts w:ascii="Arabic11 BT" w:hAnsi="Arabic11 BT" w:cs="Arabic11 BT"/>
          <w:vertAlign w:val="superscript"/>
          <w:rtl/>
        </w:rPr>
        <w:footnoteReference w:id="195"/>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إن اعتقاد هذه الجماعة بأن جميع الناس يمكنهم أن يفهموا القرآن وانتقادهم وحملتهم على الذين يعتبرون أن عوام الناس لا يمكنهم فهم القرآن، جعلهم يُضَيِّقون حدود دائرة المتشابه في القرآن. كان سنگلجي يعتبر أن الآيات المتشابهة هي فقط تلك الآيات التي تتعلق بصفات الله.</w:t>
      </w:r>
      <w:r w:rsidRPr="006E28E9">
        <w:rPr>
          <w:rStyle w:val="Char"/>
          <w:rFonts w:ascii="Arabic11 BT" w:hAnsi="Arabic11 BT" w:cs="Arabic11 BT"/>
          <w:vertAlign w:val="superscript"/>
          <w:rtl/>
        </w:rPr>
        <w:footnoteReference w:id="196"/>
      </w:r>
    </w:p>
    <w:p w:rsidR="00DA6CFB" w:rsidRPr="0092648A" w:rsidRDefault="00DA6CFB" w:rsidP="0092648A">
      <w:pPr>
        <w:widowControl w:val="0"/>
        <w:spacing w:line="216" w:lineRule="auto"/>
        <w:ind w:firstLine="284"/>
        <w:jc w:val="both"/>
        <w:rPr>
          <w:rStyle w:val="Char"/>
          <w:rtl/>
        </w:rPr>
      </w:pPr>
      <w:r w:rsidRPr="0092648A">
        <w:rPr>
          <w:rStyle w:val="Char"/>
          <w:rFonts w:hint="cs"/>
          <w:rtl/>
        </w:rPr>
        <w:t>وسوف نرى أن خرقاني كان يعتقد في هذا المجال أن الحروف المقطعة هي فقط الآيات المتشابهات وبقية القرآن كله من المحكم.</w:t>
      </w:r>
      <w:r w:rsidRPr="006E28E9">
        <w:rPr>
          <w:rStyle w:val="Char"/>
          <w:rFonts w:ascii="Arabic11 BT" w:hAnsi="Arabic11 BT" w:cs="Arabic11 BT"/>
          <w:vertAlign w:val="superscript"/>
          <w:rtl/>
        </w:rPr>
        <w:footnoteReference w:id="197"/>
      </w:r>
    </w:p>
    <w:p w:rsidR="00DA6CFB" w:rsidRPr="0092648A" w:rsidRDefault="00DA6CFB" w:rsidP="0092648A">
      <w:pPr>
        <w:widowControl w:val="0"/>
        <w:spacing w:line="216" w:lineRule="auto"/>
        <w:ind w:firstLine="284"/>
        <w:jc w:val="both"/>
        <w:rPr>
          <w:rStyle w:val="Char"/>
          <w:rtl/>
        </w:rPr>
      </w:pPr>
      <w:r w:rsidRPr="0092648A">
        <w:rPr>
          <w:rStyle w:val="Char"/>
          <w:rFonts w:hint="cs"/>
          <w:rtl/>
        </w:rPr>
        <w:t>وهم يستندون في هذا الصدد إلى الآيات التي تدعو عامة الناس إلى تدبر القرآن. وكان شريعت يقول: لا توجد في القرآن أي كلمة ولا أي آية لا يمكن للبشر أن يفهموها.</w:t>
      </w:r>
      <w:r w:rsidRPr="006E28E9">
        <w:rPr>
          <w:rStyle w:val="Char"/>
          <w:rFonts w:ascii="Arabic11 BT" w:hAnsi="Arabic11 BT" w:cs="Arabic11 BT"/>
          <w:vertAlign w:val="superscript"/>
          <w:rtl/>
        </w:rPr>
        <w:footnoteReference w:id="198"/>
      </w:r>
    </w:p>
    <w:p w:rsidR="00DA6CFB" w:rsidRPr="0092648A" w:rsidRDefault="00DA6CFB" w:rsidP="0092648A">
      <w:pPr>
        <w:widowControl w:val="0"/>
        <w:spacing w:line="216" w:lineRule="auto"/>
        <w:ind w:firstLine="284"/>
        <w:jc w:val="both"/>
        <w:rPr>
          <w:rStyle w:val="Char"/>
          <w:rtl/>
        </w:rPr>
      </w:pPr>
      <w:r w:rsidRPr="0092648A">
        <w:rPr>
          <w:rStyle w:val="Char"/>
          <w:rFonts w:hint="cs"/>
          <w:rtl/>
        </w:rPr>
        <w:t>كما أنه قال: إن المقصود من بطن القرآن ليس تفسيره وتأويله بل بطن القرآن هو هدف القرآن وغايته.</w:t>
      </w:r>
      <w:r w:rsidRPr="006E28E9">
        <w:rPr>
          <w:rStyle w:val="Char"/>
          <w:rFonts w:ascii="Arabic11 BT" w:hAnsi="Arabic11 BT" w:cs="Arabic11 BT"/>
          <w:vertAlign w:val="superscript"/>
          <w:rtl/>
        </w:rPr>
        <w:footnoteReference w:id="199"/>
      </w:r>
    </w:p>
    <w:p w:rsidR="00DA6CFB" w:rsidRPr="0092648A" w:rsidRDefault="00DA6CFB" w:rsidP="0092648A">
      <w:pPr>
        <w:widowControl w:val="0"/>
        <w:spacing w:line="216" w:lineRule="auto"/>
        <w:ind w:firstLine="284"/>
        <w:jc w:val="both"/>
        <w:rPr>
          <w:rStyle w:val="Char"/>
          <w:rtl/>
        </w:rPr>
      </w:pPr>
      <w:r w:rsidRPr="0092648A">
        <w:rPr>
          <w:rStyle w:val="Char"/>
          <w:rFonts w:hint="cs"/>
          <w:rtl/>
        </w:rPr>
        <w:t>وفي حوالي سنة 1332 هـ.ش [يوافق 1372هـ.ق] طُبِعَ كتابٌ باسم (</w:t>
      </w:r>
      <w:r w:rsidR="008C7124">
        <w:rPr>
          <w:rStyle w:val="Char8"/>
          <w:rFonts w:hint="cs"/>
          <w:rtl/>
        </w:rPr>
        <w:t>ک</w:t>
      </w:r>
      <w:r w:rsidRPr="0092648A">
        <w:rPr>
          <w:rStyle w:val="Char8"/>
          <w:rFonts w:hint="cs"/>
          <w:rtl/>
        </w:rPr>
        <w:t>شتى نجات بشر</w:t>
      </w:r>
      <w:r w:rsidR="008C7124">
        <w:rPr>
          <w:rStyle w:val="Char8"/>
          <w:rFonts w:hint="cs"/>
          <w:rtl/>
        </w:rPr>
        <w:t>ی</w:t>
      </w:r>
      <w:r w:rsidRPr="0092648A">
        <w:rPr>
          <w:rStyle w:val="Char8"/>
          <w:rFonts w:hint="cs"/>
          <w:rtl/>
        </w:rPr>
        <w:t>ت</w:t>
      </w:r>
      <w:r w:rsidRPr="0092648A">
        <w:rPr>
          <w:rStyle w:val="Char"/>
          <w:rFonts w:hint="cs"/>
          <w:rtl/>
        </w:rPr>
        <w:t>) [أي سفينة نجاة البشرية] تم طرح بحث المُحْكَم والمتشابه فيه، واعتُبر فيه أن توسعة دائرة المتشابهات يقدِّم سوقًا للانتهازيين وأصحاب الدكاكين [أي الذين يريدون أن يستغلوا ذلك لتحقيق مصالحهم ومآربهم].</w:t>
      </w:r>
      <w:r w:rsidRPr="006E28E9">
        <w:rPr>
          <w:rStyle w:val="Char"/>
          <w:rFonts w:ascii="Arabic11 BT" w:hAnsi="Arabic11 BT" w:cs="Arabic11 BT"/>
          <w:vertAlign w:val="superscript"/>
          <w:rtl/>
        </w:rPr>
        <w:footnoteReference w:id="200"/>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كتب مؤلف ذلك الكتاب يقول: هل هناك أي آية أخرى في القرآن سوى الآيات التي وردت فيها حروف القرآن المقطعة، أي التسعة وعشرون آية من آيات القرآن التي كُتِبَت بصورة رمز ووُضِعَت في بداية بعض السور، بعيدة عن مواصفات الآيات المحكمات؟</w:t>
      </w:r>
      <w:r w:rsidRPr="006E28E9">
        <w:rPr>
          <w:rStyle w:val="Char"/>
          <w:rFonts w:ascii="Arabic11 BT" w:hAnsi="Arabic11 BT" w:cs="Arabic11 BT"/>
          <w:vertAlign w:val="superscript"/>
          <w:rtl/>
        </w:rPr>
        <w:footnoteReference w:id="201"/>
      </w:r>
    </w:p>
    <w:p w:rsidR="00DA6CFB" w:rsidRPr="0092648A" w:rsidRDefault="00DA6CFB" w:rsidP="0092648A">
      <w:pPr>
        <w:widowControl w:val="0"/>
        <w:spacing w:line="216" w:lineRule="auto"/>
        <w:ind w:firstLine="284"/>
        <w:jc w:val="both"/>
        <w:rPr>
          <w:rStyle w:val="Char"/>
          <w:rtl/>
        </w:rPr>
      </w:pPr>
      <w:r w:rsidRPr="0092648A">
        <w:rPr>
          <w:rStyle w:val="Char"/>
          <w:rFonts w:hint="cs"/>
          <w:rtl/>
        </w:rPr>
        <w:t>أحد الموضوعات التي يحبها مثل هؤلاء الأشخاص أيضًا موضوع التوحيد والشرك والذي سَرَى تدريجيًّا إلى هذه الأنحاء [أي إلى إيران] وأصبح مشكلة مطروحة، وذلك بعد غلبة الوهابيين [على الحجاز وشبه الجزيرة العربية] وانتشار دعاياتهم ضد بناء الأبنية فوق المقابر وشد الرحال لزيارة القبور.</w:t>
      </w:r>
      <w:r w:rsidRPr="006E28E9">
        <w:rPr>
          <w:rStyle w:val="Char"/>
          <w:rFonts w:ascii="Arabic11 BT" w:hAnsi="Arabic11 BT" w:cs="Arabic11 BT"/>
          <w:vertAlign w:val="superscript"/>
          <w:rtl/>
        </w:rPr>
        <w:footnoteReference w:id="202"/>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انتشار سُبُل الماء الموقوفة للناس [باسم الأئمة أو ذراريهم] والأنواع المختلفة من الحساء [التي تُقَدَّم باسم الأئمة في مناسبات ولاداتهم أو وفياتهم] وأمثال ذلك [في إيران] يُعْتَبَر بالنسبة إلى أمثال شريعت سنگلجي علامات على نوع من الشرك. وفي موضوع الشفاعة كانت له مقاربة متشدّدة جدّاً، إذ ردّ فيه كل نوع من أنواع الشفاعة.</w:t>
      </w:r>
      <w:r w:rsidRPr="006E28E9">
        <w:rPr>
          <w:rStyle w:val="Char"/>
          <w:rFonts w:ascii="Arabic11 BT" w:hAnsi="Arabic11 BT" w:cs="Arabic11 BT"/>
          <w:vertAlign w:val="superscript"/>
          <w:rtl/>
        </w:rPr>
        <w:footnoteReference w:id="203"/>
      </w:r>
      <w:r w:rsidRPr="0092648A">
        <w:rPr>
          <w:rStyle w:val="Char"/>
          <w:rFonts w:hint="cs"/>
          <w:rtl/>
        </w:rPr>
        <w:t xml:space="preserve"> وفي هذا الإطار كتب شريعت سنگلجي كتابه «</w:t>
      </w:r>
      <w:r w:rsidRPr="0092648A">
        <w:rPr>
          <w:rStyle w:val="Char8"/>
          <w:rFonts w:hint="cs"/>
          <w:rtl/>
        </w:rPr>
        <w:t>توح</w:t>
      </w:r>
      <w:r w:rsidR="008C7124">
        <w:rPr>
          <w:rStyle w:val="Char8"/>
          <w:rFonts w:hint="cs"/>
          <w:rtl/>
        </w:rPr>
        <w:t>ی</w:t>
      </w:r>
      <w:r w:rsidRPr="0092648A">
        <w:rPr>
          <w:rStyle w:val="Char8"/>
          <w:rFonts w:hint="cs"/>
          <w:rtl/>
        </w:rPr>
        <w:t>د عبادت</w:t>
      </w:r>
      <w:r w:rsidRPr="0092648A">
        <w:rPr>
          <w:rStyle w:val="Char"/>
          <w:rFonts w:hint="cs"/>
          <w:rtl/>
        </w:rPr>
        <w:t>» (توحيد العبادة).</w:t>
      </w:r>
      <w:r w:rsidRPr="006E28E9">
        <w:rPr>
          <w:rStyle w:val="Char"/>
          <w:rFonts w:ascii="Arabic11 BT" w:hAnsi="Arabic11 BT" w:cs="Arabic11 BT"/>
          <w:vertAlign w:val="superscript"/>
          <w:rtl/>
        </w:rPr>
        <w:footnoteReference w:id="204"/>
      </w:r>
      <w:r w:rsidRPr="0092648A">
        <w:rPr>
          <w:rStyle w:val="Char"/>
          <w:rFonts w:hint="cs"/>
          <w:rtl/>
        </w:rPr>
        <w:t xml:space="preserve"> وجاء في مقدمة ذلك الكتاب: «لابدّ أن يبكي الإنسان دماً؛ لقد حُرِّف الإسلام تحريفًا عظيمًا وحلَّت الخرافات والأباطيل محل حقائق الدين إلى درجة أنه لو قام شخص ببيان الدين الحقيقي للناس ... لقام الناس بتكفيره».</w:t>
      </w:r>
      <w:r w:rsidRPr="006E28E9">
        <w:rPr>
          <w:rStyle w:val="Char"/>
          <w:rFonts w:ascii="Arabic11 BT" w:hAnsi="Arabic11 BT" w:cs="Arabic11 BT"/>
          <w:vertAlign w:val="superscript"/>
          <w:rtl/>
        </w:rPr>
        <w:footnoteReference w:id="205"/>
      </w:r>
      <w:r w:rsidRPr="0092648A">
        <w:rPr>
          <w:rStyle w:val="Char"/>
          <w:rFonts w:hint="cs"/>
          <w:rtl/>
        </w:rPr>
        <w:t xml:space="preserve"> كان ادعاء أمثال أولئك الأفراد أنهم يرون وجوب تنقية الدين والمذهب من أمثال تلك الخرافات، مع حفظهم لأصول التشيع، وذلك لأن تلك الخرافات أمور دخيلة لا تستمد جذورها من التشيع.</w:t>
      </w:r>
      <w:r w:rsidRPr="006E28E9">
        <w:rPr>
          <w:rStyle w:val="Char"/>
          <w:rFonts w:ascii="Arabic11 BT" w:hAnsi="Arabic11 BT" w:cs="Arabic11 BT"/>
          <w:vertAlign w:val="superscript"/>
          <w:rtl/>
        </w:rPr>
        <w:footnoteReference w:id="206"/>
      </w:r>
      <w:r w:rsidRPr="0092648A">
        <w:rPr>
          <w:rStyle w:val="Char"/>
          <w:rFonts w:hint="cs"/>
          <w:rtl/>
        </w:rPr>
        <w:t xml:space="preserve"> الحقيقة أن تصوّر خروج أمثال </w:t>
      </w:r>
      <w:r w:rsidRPr="0092648A">
        <w:rPr>
          <w:rStyle w:val="Char"/>
          <w:rFonts w:hint="cs"/>
          <w:rtl/>
        </w:rPr>
        <w:lastRenderedPageBreak/>
        <w:t>شريعت من دائرة التشيع تصور واهٍ جدًّا ولا أساس له من الصحّة. كل ما في الأمر أن أصحاب هذا التيار كانوا يهتمون بشكل كبير بموضوع الغلوّ ومصاديقه.</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سنة 1323 هـ.ش (يطابق 1363هـ.ق)، طَبَعَ شريعت في طهران كتابًا آخر من تأليفه عنوانه «</w:t>
      </w:r>
      <w:r w:rsidRPr="008C7124">
        <w:rPr>
          <w:rStyle w:val="Char7"/>
          <w:rFonts w:hint="cs"/>
          <w:rtl/>
        </w:rPr>
        <w:t>محو الموهوم وصحو المعلوم</w:t>
      </w:r>
      <w:r w:rsidRPr="0092648A">
        <w:rPr>
          <w:rStyle w:val="Char"/>
          <w:rFonts w:hint="cs"/>
          <w:rtl/>
        </w:rPr>
        <w:t>»، في 41 صفحة، ولابد من تحليل هذا الكتاب - أو الكُتَيِّب - في هذا الإطار.</w:t>
      </w:r>
      <w:r w:rsidRPr="006E28E9">
        <w:rPr>
          <w:rStyle w:val="Char"/>
          <w:rFonts w:ascii="Arabic11 BT" w:hAnsi="Arabic11 BT" w:cs="Arabic11 BT"/>
          <w:vertAlign w:val="superscript"/>
          <w:rtl/>
        </w:rPr>
        <w:footnoteReference w:id="207"/>
      </w:r>
      <w:r w:rsidRPr="0092648A">
        <w:rPr>
          <w:rStyle w:val="Char"/>
          <w:rFonts w:hint="cs"/>
          <w:rtl/>
        </w:rPr>
        <w:t xml:space="preserve"> من النقاط الغريبة المثيرة للعجب في هذا الكُتَيِّب أنه ادَّعى فيه أن عيسى مات، قائلاً إن هذا هو ما تدل عليه آيات القرآن.</w:t>
      </w:r>
      <w:r w:rsidRPr="006E28E9">
        <w:rPr>
          <w:rStyle w:val="Char"/>
          <w:rFonts w:ascii="Arabic11 BT" w:hAnsi="Arabic11 BT" w:cs="Arabic11 BT"/>
          <w:vertAlign w:val="superscript"/>
          <w:rtl/>
        </w:rPr>
        <w:footnoteReference w:id="208"/>
      </w:r>
      <w:r>
        <w:rPr>
          <w:rFonts w:cs="Times New Roman" w:hint="cs"/>
          <w:rtl/>
          <w:lang w:bidi="ar-SY"/>
        </w:rPr>
        <w:t xml:space="preserve"> </w:t>
      </w:r>
      <w:r w:rsidRPr="0092648A">
        <w:rPr>
          <w:rStyle w:val="Char"/>
          <w:rFonts w:hint="cs"/>
          <w:rtl/>
        </w:rPr>
        <w:t>في تقديمه لهذا الكُتَيِّب، كتب حسين قُلي مستعان، أحد مريدي الشيخ سنگلجي، مُبيِّنًا أهمية الكتاب: «لقد أبطلت محتويات هذا الكُتَيِّب بكل صراحة عددًا من الخرافات والأوهام التي زرعها المفسرون وعلماء الدين الجهلة المتظاهرون بالعلم، والكُتَّاب والخطباء الجهلة أو المغرضون في أعماق أذهان عوام الناس وقلوبهم منذ قرون عديدة».</w:t>
      </w:r>
      <w:r w:rsidRPr="006E28E9">
        <w:rPr>
          <w:rStyle w:val="Char"/>
          <w:rFonts w:ascii="Arabic11 BT" w:hAnsi="Arabic11 BT" w:cs="Arabic11 BT"/>
          <w:vertAlign w:val="superscript"/>
          <w:rtl/>
        </w:rPr>
        <w:footnoteReference w:id="209"/>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إضافة إلى الكتب التي مرَّ ذِكْرُها لابد من الإشارة إلى كتب شريعت الأخرى الآتية: </w:t>
      </w:r>
      <w:r w:rsidRPr="0092648A">
        <w:rPr>
          <w:rStyle w:val="Char8"/>
          <w:rFonts w:hint="cs"/>
          <w:rtl/>
        </w:rPr>
        <w:t>اسلام و رجعت</w:t>
      </w:r>
      <w:r w:rsidRPr="0092648A">
        <w:rPr>
          <w:rStyle w:val="Char"/>
          <w:rFonts w:hint="cs"/>
          <w:rtl/>
        </w:rPr>
        <w:t xml:space="preserve"> (كان سنگلجي يعتبر «الرجعة» من عقائد غلاة الشيعة)، </w:t>
      </w:r>
      <w:r w:rsidRPr="008C7124">
        <w:rPr>
          <w:rStyle w:val="Char7"/>
          <w:rFonts w:hint="cs"/>
          <w:rtl/>
        </w:rPr>
        <w:t>متعابسات في المسائل الفلسفية</w:t>
      </w:r>
      <w:r w:rsidRPr="0092648A">
        <w:rPr>
          <w:rStyle w:val="Char"/>
          <w:rFonts w:hint="cs"/>
          <w:rtl/>
        </w:rPr>
        <w:t xml:space="preserve">، </w:t>
      </w:r>
      <w:r w:rsidRPr="008C7124">
        <w:rPr>
          <w:rStyle w:val="Char7"/>
          <w:rFonts w:hint="cs"/>
          <w:rtl/>
        </w:rPr>
        <w:t>براهين القرآن</w:t>
      </w:r>
      <w:r w:rsidRPr="0092648A">
        <w:rPr>
          <w:rStyle w:val="Char"/>
          <w:rFonts w:hint="cs"/>
          <w:rtl/>
        </w:rPr>
        <w:t xml:space="preserve"> (ألحقه بكتابه «</w:t>
      </w:r>
      <w:r w:rsidRPr="008C7124">
        <w:rPr>
          <w:rStyle w:val="Char7"/>
          <w:rFonts w:hint="cs"/>
          <w:rtl/>
        </w:rPr>
        <w:t>كليد فهم قرآن</w:t>
      </w:r>
      <w:r w:rsidRPr="0092648A">
        <w:rPr>
          <w:rStyle w:val="Char"/>
          <w:rFonts w:hint="cs"/>
          <w:rtl/>
        </w:rPr>
        <w:t xml:space="preserve">» [مفاتح فهم القرآن])، </w:t>
      </w:r>
      <w:r w:rsidRPr="008C7124">
        <w:rPr>
          <w:rStyle w:val="Char7"/>
          <w:rFonts w:hint="cs"/>
          <w:rtl/>
        </w:rPr>
        <w:t>البدع والخرافات</w:t>
      </w:r>
      <w:r w:rsidRPr="0092648A">
        <w:rPr>
          <w:rStyle w:val="Char"/>
          <w:rFonts w:hint="cs"/>
          <w:rtl/>
        </w:rPr>
        <w:t xml:space="preserve"> (ألفه باللغة العربية)، </w:t>
      </w:r>
      <w:r w:rsidRPr="008C7124">
        <w:rPr>
          <w:rStyle w:val="Char7"/>
          <w:rFonts w:hint="cs"/>
          <w:rtl/>
        </w:rPr>
        <w:t>رسالة الإسلام والموسيقى</w:t>
      </w:r>
      <w:r w:rsidRPr="0092648A">
        <w:rPr>
          <w:rStyle w:val="Char"/>
          <w:rFonts w:hint="cs"/>
          <w:rtl/>
        </w:rPr>
        <w:t xml:space="preserve">، </w:t>
      </w:r>
      <w:r w:rsidRPr="008C7124">
        <w:rPr>
          <w:rStyle w:val="Char7"/>
          <w:rFonts w:hint="cs"/>
          <w:rtl/>
        </w:rPr>
        <w:t>رسالة في حرمة الربا</w:t>
      </w:r>
      <w:r w:rsidRPr="0092648A">
        <w:rPr>
          <w:rStyle w:val="Char"/>
          <w:rFonts w:hint="cs"/>
          <w:rtl/>
        </w:rPr>
        <w:t>، وكتاب «ا</w:t>
      </w:r>
      <w:r w:rsidRPr="0092648A">
        <w:rPr>
          <w:rStyle w:val="Char8"/>
          <w:rFonts w:hint="cs"/>
          <w:rtl/>
        </w:rPr>
        <w:t>سلام وموس</w:t>
      </w:r>
      <w:r w:rsidR="008C7124">
        <w:rPr>
          <w:rStyle w:val="Char8"/>
          <w:rFonts w:hint="cs"/>
          <w:rtl/>
        </w:rPr>
        <w:t>ی</w:t>
      </w:r>
      <w:r w:rsidRPr="0092648A">
        <w:rPr>
          <w:rStyle w:val="Char8"/>
          <w:rFonts w:hint="cs"/>
          <w:rtl/>
        </w:rPr>
        <w:t>قى</w:t>
      </w:r>
      <w:r w:rsidRPr="0092648A">
        <w:rPr>
          <w:rStyle w:val="Char"/>
          <w:rFonts w:hint="cs"/>
          <w:rtl/>
        </w:rPr>
        <w:t>» (بيانات شريعت سنگلجي بقلم أسد الله روئين، طهران 1323 هـ.ش).</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بمناسبة السنة الأولى لوفاة شريعت قام أبو الحسن بيگدلي بطباعة ونشر كتاب عنه. وذكر في هذا الكتاب معلومات وافرة عن شريعت سنگلجى وتأثير أفكاره ووجهات نظره في المجتمع الإيراني في ذلك العهد، كما ذكر فيه ما يريد مريدوه والمتشوقون لأفكاره أن يعرفوه عنه. كما نشر أبو الحسن بيگدلي ذاته، الذي كان من مريدي الشيخ شريعت، ترجمةً لشيخه شريعت سنگلجي في مجلة رواق </w:t>
      </w:r>
      <w:r w:rsidRPr="0092648A">
        <w:rPr>
          <w:rStyle w:val="Char"/>
          <w:rFonts w:hint="cs"/>
          <w:rtl/>
        </w:rPr>
        <w:lastRenderedPageBreak/>
        <w:t>التي كان يملكها أخو شريعت، أي محمد شريعت سنگلجي (ونُشِرَت في شهر خرداد عام 1331 هـ.ش فما بعد)، ويبدو أن تلك الترجمة تضمنت أجزاءً من كتابه ذاك الذي أشرنا إليه آنفًا والذي طبعه بيگدلى في الذكرى السنوية الأولى لوفاة شريعت. ورغم اتفاق أحمد كسروي مع شريعت سنگلجي في أصل نزعته الإصلاحية التصحيحية، إلا أنه لم يعجبه قيام الشيخ شريعت سنگلجي بدعوة الناس إلى القرآن، لأنه - أي كسروي - كان يفكّر بشأن الدين بنحو أكثر شمولاً، ولم يكن يريد أن يطرح دينه الإنساني ضمن إطار القرآن. وقد أورد نور الدين چهاردهي بشكل موثَّق كثيرًا من آرائه الدقيقة في المسائل المختلفة.</w:t>
      </w:r>
      <w:r w:rsidRPr="006E28E9">
        <w:rPr>
          <w:rStyle w:val="Char"/>
          <w:rFonts w:ascii="Arabic11 BT" w:hAnsi="Arabic11 BT" w:cs="Arabic11 BT"/>
          <w:vertAlign w:val="superscript"/>
          <w:rtl/>
        </w:rPr>
        <w:footnoteReference w:id="210"/>
      </w:r>
    </w:p>
    <w:p w:rsidR="00DA6CFB" w:rsidRDefault="00DA6CFB" w:rsidP="0092648A">
      <w:pPr>
        <w:widowControl w:val="0"/>
        <w:spacing w:line="216" w:lineRule="auto"/>
        <w:ind w:firstLine="284"/>
        <w:jc w:val="both"/>
        <w:rPr>
          <w:rStyle w:val="Char"/>
          <w:rtl/>
        </w:rPr>
      </w:pPr>
      <w:r w:rsidRPr="0092648A">
        <w:rPr>
          <w:rStyle w:val="Char"/>
          <w:rFonts w:hint="cs"/>
          <w:rtl/>
        </w:rPr>
        <w:t>استمرَّت محاربة شعائر الشيعة وطقوسهم، تحت عنوان محاربة الخرافات، مِنْ قِبَلِ الشعراء والصحفيين، في عصر التجدد والعصرنة الإجبارية التي قادها الشاه رضا خان. وكمثال على ذلك: النشاط الصحفي الحثيث الذي كان يبذله الشاعرُ الأصفهاني محمد مكرم (1303هـ.ق/ 1344هـ.ش) في محاربة الشعائر والطقوس المذهبية.</w:t>
      </w:r>
      <w:r w:rsidRPr="006E28E9">
        <w:rPr>
          <w:rStyle w:val="Char"/>
          <w:rFonts w:ascii="Arabic11 BT" w:hAnsi="Arabic11 BT" w:cs="Arabic11 BT"/>
          <w:vertAlign w:val="superscript"/>
          <w:rtl/>
        </w:rPr>
        <w:footnoteReference w:id="211"/>
      </w:r>
      <w:r w:rsidRPr="0092648A">
        <w:rPr>
          <w:rStyle w:val="Char"/>
          <w:rFonts w:hint="cs"/>
          <w:rtl/>
        </w:rPr>
        <w:t xml:space="preserve"> إذْ نجد ديوان أشعاره مشحونًا بالأبيات التي يهاجم فيها الشعائر الشيعية، التي كان معظمها مشوبًا فعلاً بخرافات العوام.</w:t>
      </w:r>
      <w:r w:rsidRPr="006E28E9">
        <w:rPr>
          <w:rStyle w:val="Char"/>
          <w:rFonts w:ascii="Arabic11 BT" w:hAnsi="Arabic11 BT" w:cs="Arabic11 BT"/>
          <w:vertAlign w:val="superscript"/>
          <w:rtl/>
        </w:rPr>
        <w:footnoteReference w:id="212"/>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يشير السيد صاحب الزماني إلى حركة شريعت بوصفها نهضة مجهولة ويعتقد أن شريعت سعى من خلال نقد بعض الأخبار والأحاديث، ومن دون أن يبطل الإسلام، إلى طرح الإسلام للناس بصورة نهضة تقدمية اجتماعية، جاعلاً منه إيديولوجية أو رؤية كونية مقبولة لدى الجيل المعاصر. وقال: إن الطريق الذي سلكه شريعت في [تصحيح] الفكر الديني وما طرحه من اجتهادات إسلامية كان طريقًا ثوريّاً. ثم أكّد بعد بضع صفحات أن شريعت كان يهدف إلى «اكتساب الأجيال القادمة، في إيران الإسلامية، للحرية والاستقلال الفكري». ويعتقد صاحب الزماني أن حركة أحمد كسروي كانت أكثر أنواع التحرك المشابه لحركة شريعت تطرُّفًا، وكتب يقول:</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لشريعت وكسروي سعيًا تصحيحيًّا متطابقًا ومتناغمًا. كانا يحاولان أن ينقيا مزرعتهما الاجتماعية وينظفاها من الأعشاب الضارة التي يعتقدان أنها نمت حولها عبر القرون وأن يعودا إلى النقاء الديني الذي كان في صدر الإسلام... كل ما في الأمر أن شريعت كان أكثر تحفُّظًا في هذا المسعى في حين أن كسروي كان أكثر حِدَّةً وهجوميّةً، وكانت الإصلاحات التي يقترحها شريعت تنصب في الغالب على إصلاح مؤسسة علماء الدين وإعادة بناء الفكر الديني وتصحيحه، في حين صَرَف كسروي نظره عن علماء الدين تمامًا، وركَّز اهتمامه على ساحة الأدب والسياسة».</w:t>
      </w:r>
      <w:r w:rsidRPr="006E28E9">
        <w:rPr>
          <w:rStyle w:val="Char"/>
          <w:rFonts w:ascii="Arabic11 BT" w:hAnsi="Arabic11 BT" w:cs="Arabic11 BT"/>
          <w:vertAlign w:val="superscript"/>
          <w:rtl/>
        </w:rPr>
        <w:footnoteReference w:id="213"/>
      </w:r>
      <w:r w:rsidRPr="0092648A">
        <w:rPr>
          <w:rStyle w:val="Char"/>
          <w:rFonts w:hint="cs"/>
          <w:rtl/>
        </w:rPr>
        <w:t xml:space="preserve"> لا شك أن حركة سنگلجي وحركة كسروي أيضًا تركتا بصماتهما وتأثيرهما الخاص في الأوساط الدينية المثقفة والمتنورة [في إيران] وأنها تواصلت واستمرت. ويخطئ صاحب الزماني في قوله بأن شريعت لم يكن له خلفاء في إيران.</w:t>
      </w:r>
      <w:r w:rsidRPr="006E28E9">
        <w:rPr>
          <w:rStyle w:val="Char"/>
          <w:rFonts w:ascii="Arabic11 BT" w:hAnsi="Arabic11 BT" w:cs="Arabic11 BT"/>
          <w:vertAlign w:val="superscript"/>
          <w:rtl/>
        </w:rPr>
        <w:footnoteReference w:id="214"/>
      </w:r>
      <w:r w:rsidRPr="0092648A">
        <w:rPr>
          <w:rStyle w:val="Char"/>
          <w:rFonts w:hint="cs"/>
          <w:rtl/>
        </w:rPr>
        <w:t xml:space="preserve"> لقد أسلفنا أن سنگلجي توفي في يوم 15/10/1322 هـ.ش [ 1363هـ.ق]. وقد روى مريده أبو الحسن بيگدلي في مجلة «رواق» آخر لحظات حياته وما كان يعانيه - على حد قول مريديه- من العوام الجاهلين، وهي المعاناة التي أدت إلى وفاته المبكرة في سن 53 عامًا بعد أن أصبح جسمه كجسم عجوز ابن ثمانين سنة -كما يظهر من صوره. كان لشريعت أخ آخر يدعى محمد مهدي شريعت سنگلجي مرض بعد وفاة أخيه ولزم الفراش وما لبث أن تُوُفِّي بعد بضعة أيام فقط من وفاة أخيه. واصل أخوه الآخر محمد سنگلجي، الذي خلفه في بناء دار التبليغ، أعماله، ونشرت صحيفة رواق الصادرة عام 1331هـ.ش [1371هـ.ق] مقالاً عن أعماله وأعمال أنصار شريعت ومحبيه. كان محمد باقر «شهاب الدين» ابن شريعت سنگلجي وكان يساعد عمله في إدارة دار التبليغ وكان ينشر </w:t>
      </w:r>
      <w:r w:rsidRPr="0092648A">
        <w:rPr>
          <w:rStyle w:val="Char"/>
          <w:rFonts w:hint="cs"/>
          <w:rtl/>
        </w:rPr>
        <w:lastRenderedPageBreak/>
        <w:t>كتيبات تتضمن دروس أبيه وعمه. في الرسالة الخاصة التي طُبِعَت وَنُشِرَت بمناسبة الذكرى السنوية الأولى لوفاة شريعت، نظم عدد من الشعراء قصائد في رثائه، واستخدموا فيها أحيانًا بعض الجمل التي تشير إلى أفكاره. وجاء في قصيدة لشاعر يدعى ارونگ: «شريعت الذي نفض غبار الشرك مرَّةً وإلى الأبد عن شريعة الدين».</w:t>
      </w:r>
      <w:r w:rsidRPr="006E28E9">
        <w:rPr>
          <w:rStyle w:val="Char"/>
          <w:rFonts w:ascii="Arabic11 BT" w:hAnsi="Arabic11 BT" w:cs="Arabic11 BT"/>
          <w:vertAlign w:val="superscript"/>
          <w:rtl/>
        </w:rPr>
        <w:footnoteReference w:id="215"/>
      </w:r>
      <w:r w:rsidRPr="0092648A">
        <w:rPr>
          <w:rStyle w:val="Char"/>
          <w:rFonts w:hint="cs"/>
          <w:rtl/>
        </w:rPr>
        <w:t xml:space="preserve"> كما جاء في صحيفة قيام إيران، العدد 12 (الصادر بتاريخ 19 شهر دي، 1322هـ.ش) شرحٌ مفصّلٌ بقلم حسن الصدر حول آراء شريعت ومحاربته للخرافات. كما كتب رئيس تحرير صحيفة إيران مقالاً مفصلاً حول شريعت. وكذلك ذكرت صحف إقدام، ونجاة، وكوشش، وكيهان (التي قامت هيئة التحرير في إدارة التبليغ والدعوة العامة فيها بكتابة مقال مفصَّل في هذا الصدد) وعشرات الصحف والمجلات الأخرى خبر وفاة شريعت وأوردت عرضًا سريعًا لمؤلفاته وآرائه. وهذا كله يدل على أن شريعت سنگلجي كان قد لقي التأييد والقبول منذ سنوات عديدة قبل وفاته، وأنه كان له في هذه الديار مريدون ومحبون وأنصار. كتب أحمد فرامرزي في صحيفة </w:t>
      </w:r>
      <w:r w:rsidRPr="0092648A">
        <w:rPr>
          <w:rStyle w:val="Char8"/>
          <w:rFonts w:hint="cs"/>
          <w:rtl/>
        </w:rPr>
        <w:t>مهر إ</w:t>
      </w:r>
      <w:r w:rsidR="008C7124">
        <w:rPr>
          <w:rStyle w:val="Char8"/>
          <w:rFonts w:hint="cs"/>
          <w:rtl/>
        </w:rPr>
        <w:t>ی</w:t>
      </w:r>
      <w:r w:rsidRPr="0092648A">
        <w:rPr>
          <w:rStyle w:val="Char8"/>
          <w:rFonts w:hint="cs"/>
          <w:rtl/>
        </w:rPr>
        <w:t>ران</w:t>
      </w:r>
      <w:r w:rsidRPr="0092648A">
        <w:rPr>
          <w:rStyle w:val="Char"/>
          <w:rFonts w:hint="cs"/>
          <w:rtl/>
        </w:rPr>
        <w:t>، العدد 547 (الصادر بتاريخ الاثنين، 19 شهر دي 1322 هـ.ش) [الموافق لـ 1363هـ.ق] مقالاً مفصلاً حول شريعت وذكر في معرض كلامه عن المصلحين كلّاً من ابن تيمية وثورته ضد الخرافات، ثم محمد بن عبد الوهاب النجدي، ثم ذكر الشيخ محمد عبده ثم شريعت سنگلجي وقال: «كان المرحوم شريعت سنگلجي من نمط ومرتبة أولئك المصلحين أيضًا الذين وقفوا حياتهم وكرَّسوها لإعلاء كلمة الحق والجهاد ضد البدع والخرافات... وأذكر أنني كنت أتكلم يومًا مع جناب السيد تقي زاده حول المذاهب والأديان فوصلنا إلى طرح السؤال: هل الدين ضروري لإيران أم لا؟ فقال: «لا يمكن لأي شعب من الشعوب أن يعيش دون دِين ويبقى عزيزًا مرفوع الرأس، ولا يمكن لأي شخص عاقل أن يريد لشعبه الإلحاد وانعدام الدين، ولكنني أعتقد أن هناك حاجة إلى إصلاحات وتصحيحٍ للدين في إيران وهذه الإصلاحات الدينية تعني العودة إلى حقيقة الإسلام».</w:t>
      </w:r>
      <w:r w:rsidRPr="006E28E9">
        <w:rPr>
          <w:rStyle w:val="Char"/>
          <w:rFonts w:ascii="Arabic11 BT" w:hAnsi="Arabic11 BT" w:cs="Arabic11 BT"/>
          <w:vertAlign w:val="superscript"/>
          <w:rtl/>
        </w:rPr>
        <w:footnoteReference w:id="216"/>
      </w:r>
      <w:r w:rsidRPr="0092648A">
        <w:rPr>
          <w:rStyle w:val="Char"/>
          <w:rFonts w:hint="cs"/>
          <w:rtl/>
        </w:rPr>
        <w:t xml:space="preserve"> وقارن عبد الرحمن فرامرزي أيضًا، في مقالة أخرى كتبها في صحيفة «</w:t>
      </w:r>
      <w:r w:rsidRPr="0092648A">
        <w:rPr>
          <w:rStyle w:val="Char8"/>
          <w:rFonts w:hint="cs"/>
          <w:rtl/>
        </w:rPr>
        <w:t>بهرام</w:t>
      </w:r>
      <w:r w:rsidRPr="0092648A">
        <w:rPr>
          <w:rStyle w:val="Char"/>
          <w:rFonts w:hint="cs"/>
          <w:rtl/>
        </w:rPr>
        <w:t>»، شريعت سنگلجي بالشيخ محمد عبده بل اعتبر سنگلجي أعظم شأنًا من محمد عبده.</w:t>
      </w:r>
      <w:r w:rsidRPr="006E28E9">
        <w:rPr>
          <w:rStyle w:val="Char"/>
          <w:rFonts w:ascii="Arabic11 BT" w:hAnsi="Arabic11 BT" w:cs="Arabic11 BT"/>
          <w:vertAlign w:val="superscript"/>
          <w:rtl/>
        </w:rPr>
        <w:footnoteReference w:id="217"/>
      </w:r>
      <w:r w:rsidRPr="0092648A">
        <w:rPr>
          <w:rStyle w:val="Char"/>
          <w:rFonts w:hint="cs"/>
          <w:rtl/>
        </w:rPr>
        <w:t xml:space="preserve"> واثنى حسين قلي خان مستعان وشخصٌ آخر يُدعى مطيعي في كَلِمَتَيْهما اللتين ألقياهما عبر المذياع على شريعت </w:t>
      </w:r>
      <w:r w:rsidRPr="0092648A">
        <w:rPr>
          <w:rStyle w:val="Char"/>
          <w:rFonts w:hint="cs"/>
          <w:rtl/>
        </w:rPr>
        <w:lastRenderedPageBreak/>
        <w:t>وَمَدَحَاه.</w:t>
      </w:r>
      <w:r w:rsidRPr="006E28E9">
        <w:rPr>
          <w:rStyle w:val="Char"/>
          <w:rFonts w:ascii="Arabic11 BT" w:hAnsi="Arabic11 BT" w:cs="Arabic11 BT"/>
          <w:vertAlign w:val="superscript"/>
          <w:rtl/>
        </w:rPr>
        <w:footnoteReference w:id="218"/>
      </w:r>
      <w:r w:rsidRPr="0092648A">
        <w:rPr>
          <w:rStyle w:val="Char"/>
          <w:rFonts w:hint="cs"/>
          <w:rtl/>
        </w:rPr>
        <w:t xml:space="preserve"> كما كتب «علي جواهر كلام» مقالةً أيضًا في صحيفة «</w:t>
      </w:r>
      <w:r w:rsidRPr="0092648A">
        <w:rPr>
          <w:rStyle w:val="Char8"/>
          <w:rFonts w:hint="cs"/>
          <w:rtl/>
        </w:rPr>
        <w:t>رعد امروز</w:t>
      </w:r>
      <w:r w:rsidRPr="0092648A">
        <w:rPr>
          <w:rStyle w:val="Char"/>
          <w:rFonts w:hint="cs"/>
          <w:rtl/>
        </w:rPr>
        <w:t>» تحت عنوان «الشيخ محمد عبده - شريعت سنگلجي».</w:t>
      </w:r>
      <w:r w:rsidRPr="006E28E9">
        <w:rPr>
          <w:rStyle w:val="Char"/>
          <w:rFonts w:ascii="Arabic11 BT" w:hAnsi="Arabic11 BT" w:cs="Arabic11 BT"/>
          <w:vertAlign w:val="superscript"/>
          <w:rtl/>
        </w:rPr>
        <w:footnoteReference w:id="219"/>
      </w:r>
    </w:p>
    <w:p w:rsidR="00DA6CFB" w:rsidRPr="00C3442C" w:rsidRDefault="00DA6CFB" w:rsidP="0092648A">
      <w:pPr>
        <w:pStyle w:val="2"/>
        <w:rPr>
          <w:rtl/>
        </w:rPr>
      </w:pPr>
      <w:bookmarkStart w:id="25" w:name="_Toc444083812"/>
      <w:r w:rsidRPr="00C3442C">
        <w:rPr>
          <w:rFonts w:hint="cs"/>
          <w:rtl/>
        </w:rPr>
        <w:t xml:space="preserve">2. </w:t>
      </w:r>
      <w:r>
        <w:rPr>
          <w:rFonts w:hint="cs"/>
          <w:rtl/>
        </w:rPr>
        <w:t>ال</w:t>
      </w:r>
      <w:r w:rsidRPr="00C3442C">
        <w:rPr>
          <w:rFonts w:hint="cs"/>
          <w:rtl/>
        </w:rPr>
        <w:t>سيد أسد الله خرقاني</w:t>
      </w:r>
      <w:bookmarkEnd w:id="25"/>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الرموز الأخرى لهذا التيار شخصٌ متقدم زمنًا على شريعت سنگلجي هو: السيد أسد الله خرقاني</w:t>
      </w:r>
      <w:r w:rsidRPr="006E28E9">
        <w:rPr>
          <w:rStyle w:val="Char"/>
          <w:rFonts w:ascii="Arabic11 BT" w:hAnsi="Arabic11 BT" w:cs="Arabic11 BT"/>
          <w:vertAlign w:val="superscript"/>
          <w:rtl/>
        </w:rPr>
        <w:footnoteReference w:id="220"/>
      </w:r>
      <w:r w:rsidRPr="0092648A">
        <w:rPr>
          <w:rStyle w:val="Char"/>
          <w:rFonts w:hint="cs"/>
          <w:rtl/>
        </w:rPr>
        <w:t xml:space="preserve"> الذي كان يسمي نفسه في كتاباته: السيد أسد الله - ابن زين العابدين- ميرسلامي [مير اسلامي] الخارقاني الموسوي الشزندي.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يعود خرقاني في أصله إلى بلدة خرقان التابعة لمدينة قزوين. جاءت ترجمته نقلاً عن السيد حسن خليلي ابن عم خرقاني في مقدمة كتابه </w:t>
      </w:r>
      <w:r w:rsidRPr="008C7124">
        <w:rPr>
          <w:rStyle w:val="Char7"/>
          <w:rFonts w:hint="cs"/>
          <w:rtl/>
        </w:rPr>
        <w:t>محو الموهوم وصحو المعلوم</w:t>
      </w:r>
      <w:r w:rsidRPr="0092648A">
        <w:rPr>
          <w:rStyle w:val="Char"/>
          <w:rFonts w:hint="cs"/>
          <w:rtl/>
        </w:rPr>
        <w:t>، حيث ذُكِر هناك أن خرقاني من ذرية السادات الأشراف (الهاشميين) المير سلاميين في العهد الصفوي. وأنه درس مقدمات اللغة العربية في حيِّه ثم ذهب في سن الخامسة عشرة إلى مدينة قزوين لمواصلة دراسته. وبعد دراسته للفقه والأصول، قَدِمَ حوالي سنة 1275-1276 هـ.ق إلى العاصمة طهران وتعلَّم فيها الفلسفة في حوزة درس الفيلسوف المعروف ميرزا جلوة، وخلال ذلك درس العلوم العصرية واللغة الفرنسية أيضًا. ثم هاجر إلى النجف الأشرف حوالي سنة 1284 هـ.ق برفقة عائلته، ودرس قرابة 25 عامًا في الحوزة العلمية في النجف حتى نال درجة الاجتهاد.</w:t>
      </w:r>
      <w:r w:rsidRPr="006E28E9">
        <w:rPr>
          <w:rStyle w:val="Char"/>
          <w:rFonts w:ascii="Arabic11 BT" w:hAnsi="Arabic11 BT" w:cs="Arabic11 BT"/>
          <w:vertAlign w:val="superscript"/>
          <w:rtl/>
        </w:rPr>
        <w:footnoteReference w:id="221"/>
      </w:r>
      <w:r w:rsidRPr="0092648A">
        <w:rPr>
          <w:rStyle w:val="Char"/>
          <w:rFonts w:hint="cs"/>
          <w:rtl/>
        </w:rPr>
        <w:t xml:space="preserve"> ب</w:t>
      </w:r>
      <w:r w:rsidRPr="0092648A">
        <w:rPr>
          <w:rStyle w:val="Char"/>
          <w:rtl/>
        </w:rPr>
        <w:t xml:space="preserve">عد أن أمضى سنين </w:t>
      </w:r>
      <w:r w:rsidRPr="0092648A">
        <w:rPr>
          <w:rStyle w:val="Char"/>
          <w:rFonts w:hint="cs"/>
          <w:rtl/>
        </w:rPr>
        <w:t xml:space="preserve">عديدة </w:t>
      </w:r>
      <w:r w:rsidRPr="0092648A">
        <w:rPr>
          <w:rStyle w:val="Char"/>
          <w:rtl/>
        </w:rPr>
        <w:t>من النشاط السياسي والثقافي ل</w:t>
      </w:r>
      <w:r w:rsidRPr="0092648A">
        <w:rPr>
          <w:rStyle w:val="Char"/>
          <w:rFonts w:hint="cs"/>
          <w:rtl/>
        </w:rPr>
        <w:t>َ</w:t>
      </w:r>
      <w:r w:rsidRPr="0092648A">
        <w:rPr>
          <w:rStyle w:val="Char"/>
          <w:rtl/>
        </w:rPr>
        <w:t>ب</w:t>
      </w:r>
      <w:r w:rsidRPr="0092648A">
        <w:rPr>
          <w:rStyle w:val="Char"/>
          <w:rFonts w:hint="cs"/>
          <w:rtl/>
        </w:rPr>
        <w:t>َّ</w:t>
      </w:r>
      <w:r w:rsidRPr="0092648A">
        <w:rPr>
          <w:rStyle w:val="Char"/>
          <w:rtl/>
        </w:rPr>
        <w:t xml:space="preserve">ى </w:t>
      </w:r>
      <w:r w:rsidRPr="0092648A">
        <w:rPr>
          <w:rStyle w:val="Char"/>
          <w:rFonts w:hint="cs"/>
          <w:rtl/>
        </w:rPr>
        <w:t xml:space="preserve">خرقاني </w:t>
      </w:r>
      <w:r w:rsidRPr="0092648A">
        <w:rPr>
          <w:rStyle w:val="Char"/>
          <w:rtl/>
        </w:rPr>
        <w:t xml:space="preserve">دعوة الحق </w:t>
      </w:r>
      <w:r w:rsidRPr="0092648A">
        <w:rPr>
          <w:rStyle w:val="Char"/>
          <w:rFonts w:hint="cs"/>
          <w:rtl/>
        </w:rPr>
        <w:t>ورحل عن الدنيا</w:t>
      </w:r>
      <w:r w:rsidRPr="0092648A">
        <w:rPr>
          <w:rStyle w:val="Char"/>
          <w:rtl/>
        </w:rPr>
        <w:t xml:space="preserve"> يوم الأربعاء السابع من شهر صفر</w:t>
      </w:r>
      <w:r w:rsidRPr="0092648A">
        <w:rPr>
          <w:rStyle w:val="Char"/>
          <w:rFonts w:hint="cs"/>
          <w:rtl/>
        </w:rPr>
        <w:t xml:space="preserve"> عام 1355 هـ.ق، ودُفِن في مقبرة ابن بابويه إلى جانب قبر المرحوم الميرزا جلوة. ونشرت صحيفة اطلاعات بيان وفاته ونعيه في عددها الصادر يوم الأربعاء التاسع من شهر أرديبهشت 1315 هـ.ش. [الموافق </w:t>
      </w:r>
      <w:r w:rsidRPr="0092648A">
        <w:rPr>
          <w:rStyle w:val="Char"/>
          <w:rFonts w:hint="cs"/>
          <w:rtl/>
        </w:rPr>
        <w:lastRenderedPageBreak/>
        <w:t>للسابع من شهر صفر عام 1355هـ.ق].</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كتب آية الله طالقاني مقدمة على كتاب «</w:t>
      </w:r>
      <w:r w:rsidRPr="008C7124">
        <w:rPr>
          <w:rStyle w:val="Char7"/>
          <w:rFonts w:hint="cs"/>
          <w:rtl/>
        </w:rPr>
        <w:t>محو الموهوم وصحو المعلوم</w:t>
      </w:r>
      <w:r w:rsidRPr="0092648A">
        <w:rPr>
          <w:rStyle w:val="Char"/>
          <w:rFonts w:hint="cs"/>
          <w:rtl/>
        </w:rPr>
        <w:t>» الذي ألفه خرقاني، وذكر فيها نبذة عن حياة المؤلف أسد الله خرقاني فقال: «كان المرحوم العلامة الكبير والمجاهد السيد أسد الله مير إسلامي الخرقاني، مؤلف هذا الكتاب، أحد رجالات عالم الإسلام الواعين الأقوياء. ورغم أنني كنت مشغولاً بتحصيل العلوم الدينية في الحوزة العلمية في قم عندما اعتزل ذلك الرجل المجاهد الأعمال الاجتماعية والسياسية العادية وكرَّس كل فكره ووقته للاهتمام بالقرآن والتأليف وتربية التلاميذ، ولم أدرك محضره المبارك إلا عندما كنت أسافر إلى طهران وأحضر مجالس الرثاء الحسيني [التي كان يحاضر فيها]، وأتردد أحيانًا إلى دروسه مع والدي المرحوم حجة الإسلام والمسلمين الحاج السيد أبو الحسن الطالقاني، إلا أن مؤلفاتِ هذا الرجل ومجاهداتِه في ذلك العهد، الذي كان عهد استبدادٍ وخنقٍ للحريات، والتلاميذَ المؤمنين والأقوياء الذين ربَّاهم، تكفي لتعريفنا بمقامه العلمي وروحه الجهادية ووعيه بالأخطار المحدقة بعالم الإسلام».</w:t>
      </w:r>
      <w:r w:rsidRPr="006E28E9">
        <w:rPr>
          <w:rStyle w:val="Char"/>
          <w:rFonts w:ascii="Arabic11 BT" w:hAnsi="Arabic11 BT" w:cs="Arabic11 BT"/>
          <w:vertAlign w:val="superscript"/>
          <w:rtl/>
        </w:rPr>
        <w:footnoteReference w:id="222"/>
      </w:r>
      <w:r w:rsidRPr="0092648A">
        <w:rPr>
          <w:rStyle w:val="Char"/>
          <w:rFonts w:hint="cs"/>
          <w:rtl/>
        </w:rPr>
        <w:t xml:space="preserve"> وأثنى دولت آبادي أيضًا على عِلْم خَرَقاني ومؤهلاته ومواهبه.</w:t>
      </w:r>
      <w:r w:rsidRPr="006E28E9">
        <w:rPr>
          <w:rStyle w:val="Char"/>
          <w:rFonts w:ascii="Arabic11 BT" w:hAnsi="Arabic11 BT" w:cs="Arabic11 BT"/>
          <w:vertAlign w:val="superscript"/>
          <w:rtl/>
        </w:rPr>
        <w:footnoteReference w:id="223"/>
      </w:r>
    </w:p>
    <w:p w:rsidR="00DA6CFB" w:rsidRDefault="00DA6CFB" w:rsidP="0092648A">
      <w:pPr>
        <w:widowControl w:val="0"/>
        <w:spacing w:line="216" w:lineRule="auto"/>
        <w:ind w:firstLine="284"/>
        <w:jc w:val="both"/>
        <w:rPr>
          <w:rStyle w:val="Char"/>
          <w:rtl/>
        </w:rPr>
      </w:pPr>
      <w:r w:rsidRPr="0092648A">
        <w:rPr>
          <w:rStyle w:val="Char"/>
          <w:rFonts w:hint="cs"/>
          <w:rtl/>
        </w:rPr>
        <w:t>درس خَرَقاني في النجف على الآخوند الخراساني وتتلمذ عليه أكثر من تتلمذه على أي شيخ آخر وكان ضمن مؤسسته وحاشيته،</w:t>
      </w:r>
      <w:r w:rsidRPr="006E28E9">
        <w:rPr>
          <w:rStyle w:val="Char"/>
          <w:rFonts w:ascii="Arabic11 BT" w:hAnsi="Arabic11 BT" w:cs="Arabic11 BT"/>
          <w:vertAlign w:val="superscript"/>
          <w:rtl/>
        </w:rPr>
        <w:footnoteReference w:id="224"/>
      </w:r>
      <w:r w:rsidRPr="0092648A">
        <w:rPr>
          <w:rStyle w:val="Char"/>
          <w:rFonts w:hint="cs"/>
          <w:rtl/>
        </w:rPr>
        <w:t xml:space="preserve"> وأخرج في هذه الحوزة الدراسية ذاتها، برفقة عدد من طلاب العلوم الدينية الشباب الآخرين، مجموعة من رجال الدين المتجددين العصريين على أعتاب الثورة الدستورية. وقد ذكر ملک زاده كلامًا عن تجدده وزعامته بين الطلاب المتجددين العصريين وتحدَّث عن مجموعة من هذه الجماعات.</w:t>
      </w:r>
      <w:r w:rsidRPr="006E28E9">
        <w:rPr>
          <w:rStyle w:val="Char"/>
          <w:rFonts w:ascii="Arabic11 BT" w:hAnsi="Arabic11 BT" w:cs="Arabic11 BT"/>
          <w:vertAlign w:val="superscript"/>
          <w:rtl/>
        </w:rPr>
        <w:footnoteReference w:id="225"/>
      </w:r>
    </w:p>
    <w:p w:rsidR="00E4364C" w:rsidRPr="0092648A" w:rsidRDefault="00E4364C" w:rsidP="0092648A">
      <w:pPr>
        <w:widowControl w:val="0"/>
        <w:spacing w:line="216" w:lineRule="auto"/>
        <w:ind w:firstLine="284"/>
        <w:jc w:val="both"/>
        <w:rPr>
          <w:rStyle w:val="Char"/>
          <w:rtl/>
        </w:rPr>
      </w:pP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شارك خرقاني في الاجتماع الذي عُقِدَ سنة 1322 هـ .ش في حديقة الميرزا سليمان خان ميكده وحضره زعماء الحركة الدستورية المتجددين، وانتُخِبَ مِنْ قِبَلِهم عضوًا للوفد المؤلف من عشرة أشخاص الذي عاد إلى النجف بهدف إيجاد التنسيق بين علماء النجف وتيار الحركة الدستورية.</w:t>
      </w:r>
      <w:r w:rsidRPr="006E28E9">
        <w:rPr>
          <w:rStyle w:val="Char"/>
          <w:rFonts w:ascii="Arabic11 BT" w:hAnsi="Arabic11 BT" w:cs="Arabic11 BT"/>
          <w:vertAlign w:val="superscript"/>
          <w:rtl/>
        </w:rPr>
        <w:footnoteReference w:id="226"/>
      </w:r>
      <w:r w:rsidRPr="0092648A">
        <w:rPr>
          <w:rStyle w:val="Char"/>
          <w:rFonts w:hint="cs"/>
          <w:rtl/>
        </w:rPr>
        <w:t xml:space="preserve"> كتب ملک زاده يقول: «أمضى السيد أسد الله خرقاني سنوات طويلة في النجف، ونال درجة الاجتهاد، وكان يحظى باحترام بالغ بين علماء الدين في الحوزة العلمية وبين طلاب النجف، كما كان يتمتع بنصيب وافر من العلوم العصرية، وكان مُطَّلِعًا بشكل كامل على السياسات العالمية في عصره وعلى الفلسفة الحديثة. [وبعد انتخابه عضوًا في ذلك الوفد] ذهب السيد أسد الله خرقاني إلى النجف على الفور ودون أي إضاعة للوقت. وذهب السيد «مساوات» إلى إقليم فارس [جنوب إيران] كي يسافر إلى العتبات من هناك. أما السيد جمال واعظ فواصل خطبه المنبرية في طهران التي كان لها كثير من المُحبين.</w:t>
      </w:r>
      <w:r w:rsidRPr="006E28E9">
        <w:rPr>
          <w:rStyle w:val="Char"/>
          <w:rFonts w:ascii="Arabic11 BT" w:hAnsi="Arabic11 BT" w:cs="Arabic11 BT"/>
          <w:vertAlign w:val="superscript"/>
          <w:rtl/>
        </w:rPr>
        <w:footnoteReference w:id="227"/>
      </w:r>
      <w:r w:rsidRPr="0092648A">
        <w:rPr>
          <w:rStyle w:val="Char"/>
          <w:rFonts w:hint="cs"/>
          <w:rtl/>
        </w:rPr>
        <w:t xml:space="preserve"> وقال ملک زاده في موضع آخر أيضًا: «نهض الطلاب المثقفون والمتنورون في النجف، الذين تشكلوا تحت زعامة السيد أسد الله خَرَقاني وكانوا على معرفة بالأفكار العصرية الحديثة وشغوفين بها، نهضوا وتحرَّكوا لنصرة الدستوريين وتأييد ثورتهم، وأرسلوا برقيَّةً مؤثرةً إلى الشاه طلبوا فيها منه القبولَ بعودة العلماء من قم».</w:t>
      </w:r>
      <w:r w:rsidRPr="006E28E9">
        <w:rPr>
          <w:rStyle w:val="Char"/>
          <w:rFonts w:ascii="Arabic11 BT" w:hAnsi="Arabic11 BT" w:cs="Arabic11 BT"/>
          <w:vertAlign w:val="superscript"/>
          <w:rtl/>
        </w:rPr>
        <w:footnoteReference w:id="228"/>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تدل الرسائل التي بقيت عن خرقاني إلى اليوم على أنه كان من المؤيدين والمناصرين للمُطالبين بالملكية الدستورية وأنه كان على صلة بمستشار الدولة. بعد انتصار الثورة الدستورية، أرسل زعماؤها السيدَ خرقاني إلى مناطق جنوب إيران ولاسيما إلى مدينة بوشهر لكنه لم ينجح في مهمته وعاد إلى طهران. بعد استشهاد الشيخ فضل الله نوري، كتب ابن خرقاني في صحيفة حبل المتين مقالةً ضِدَّ علماء الدين، مما أدى إلى إغلاق تلك الصحيفة في إيران وإثارة غضب مراجع التقليد في النجف.</w:t>
      </w:r>
      <w:r w:rsidRPr="006E28E9">
        <w:rPr>
          <w:rStyle w:val="Char"/>
          <w:rFonts w:ascii="Arabic11 BT" w:hAnsi="Arabic11 BT" w:cs="Arabic11 BT"/>
          <w:vertAlign w:val="superscript"/>
          <w:rtl/>
        </w:rPr>
        <w:footnoteReference w:id="229"/>
      </w:r>
      <w:r w:rsidRPr="0092648A">
        <w:rPr>
          <w:rStyle w:val="Char"/>
          <w:rFonts w:hint="cs"/>
          <w:rtl/>
        </w:rPr>
        <w:t xml:space="preserve"> انتُخِب خرقاني ممثلاً نيابيًّا عن مدينة قزوين في الدورة الثالثة لمجلس الشورى الوطني، </w:t>
      </w:r>
      <w:r w:rsidRPr="0092648A">
        <w:rPr>
          <w:rStyle w:val="Char"/>
          <w:rFonts w:hint="cs"/>
          <w:rtl/>
        </w:rPr>
        <w:lastRenderedPageBreak/>
        <w:t xml:space="preserve">وبعد ذلك كان دائم الحضور في الساحة السياسية. وعزم عام 1299 هـ .ش [الموافق لـ 1338هـ.ق] على تشكيل الحزب الديمقراطي الإسلامي، لكنه لم يُوَفَّق لذلك. </w:t>
      </w:r>
      <w:r w:rsidRPr="0092648A">
        <w:rPr>
          <w:rStyle w:val="Char"/>
          <w:rtl/>
        </w:rPr>
        <w:t>وفي قضية المعاهدة التي عقدها وثوق الدولة</w:t>
      </w:r>
      <w:r w:rsidRPr="006E28E9">
        <w:rPr>
          <w:rStyle w:val="Char"/>
          <w:rFonts w:ascii="Arabic11 BT" w:hAnsi="Arabic11 BT" w:cs="Arabic11 BT"/>
          <w:vertAlign w:val="superscript"/>
          <w:rtl/>
        </w:rPr>
        <w:footnoteReference w:id="230"/>
      </w:r>
      <w:r w:rsidRPr="0092648A">
        <w:rPr>
          <w:rStyle w:val="Char"/>
          <w:rtl/>
        </w:rPr>
        <w:t xml:space="preserve">، أبدى خرقاني معارضة شديدة لها، </w:t>
      </w:r>
      <w:r w:rsidRPr="0092648A">
        <w:rPr>
          <w:rStyle w:val="Char"/>
          <w:rFonts w:hint="cs"/>
          <w:rtl/>
        </w:rPr>
        <w:t>وما تزال</w:t>
      </w:r>
      <w:r w:rsidRPr="0092648A">
        <w:rPr>
          <w:rStyle w:val="Char"/>
          <w:rtl/>
        </w:rPr>
        <w:t xml:space="preserve"> الوثائق والمس</w:t>
      </w:r>
      <w:r w:rsidRPr="0092648A">
        <w:rPr>
          <w:rStyle w:val="Char"/>
          <w:rFonts w:hint="cs"/>
          <w:rtl/>
        </w:rPr>
        <w:t>ت</w:t>
      </w:r>
      <w:r w:rsidRPr="0092648A">
        <w:rPr>
          <w:rStyle w:val="Char"/>
          <w:rtl/>
        </w:rPr>
        <w:t xml:space="preserve">ندات الدالة على ذلك </w:t>
      </w:r>
      <w:r w:rsidRPr="0092648A">
        <w:rPr>
          <w:rStyle w:val="Char"/>
          <w:rFonts w:hint="cs"/>
          <w:rtl/>
        </w:rPr>
        <w:t>باقية</w:t>
      </w:r>
      <w:r w:rsidRPr="0092648A">
        <w:rPr>
          <w:rStyle w:val="Char"/>
          <w:rtl/>
        </w:rPr>
        <w:t xml:space="preserve"> حتى اليوم. كما اتُّهم </w:t>
      </w:r>
      <w:r w:rsidRPr="0092648A">
        <w:rPr>
          <w:rStyle w:val="Char"/>
          <w:rFonts w:hint="cs"/>
          <w:rtl/>
        </w:rPr>
        <w:t xml:space="preserve">خرقاني </w:t>
      </w:r>
      <w:r w:rsidRPr="0092648A">
        <w:rPr>
          <w:rStyle w:val="Char"/>
          <w:rtl/>
        </w:rPr>
        <w:t xml:space="preserve">بالحصول على المال للدفاع عن مطالبة رضا خان بتحويل الملكية إلى النظام الجمهوري. كتب عين السلطنة </w:t>
      </w:r>
      <w:r w:rsidRPr="0092648A">
        <w:rPr>
          <w:rStyle w:val="Char"/>
          <w:rFonts w:hint="cs"/>
          <w:rtl/>
        </w:rPr>
        <w:t>حول</w:t>
      </w:r>
      <w:r w:rsidRPr="0092648A">
        <w:rPr>
          <w:rStyle w:val="Char"/>
          <w:rtl/>
        </w:rPr>
        <w:t xml:space="preserve"> خرقاني يقول: «</w:t>
      </w:r>
      <w:r w:rsidRPr="0092648A">
        <w:rPr>
          <w:rStyle w:val="Char"/>
          <w:rFonts w:hint="cs"/>
          <w:rtl/>
        </w:rPr>
        <w:t>مررت بحضرة الأفخم.... فرأيت على جدار البريد إعلانًا، كان السيد أسد الله خرقاني قد نشره وقال فيه: لما كنت قد قرأت بعض الأمور في الصحف وسمعت بعض الأشياء، ذهبتُ إلى حضرة المستطاب الأشرف الأمجد سعادة السيد رئيس الوزراء (رضا خان)</w:t>
      </w:r>
      <w:r w:rsidRPr="006E28E9">
        <w:rPr>
          <w:rStyle w:val="Char"/>
          <w:rFonts w:ascii="Arabic11 BT" w:hAnsi="Arabic11 BT" w:cs="Arabic11 BT"/>
          <w:vertAlign w:val="superscript"/>
          <w:rtl/>
        </w:rPr>
        <w:footnoteReference w:id="231"/>
      </w:r>
      <w:r w:rsidRPr="0092648A">
        <w:rPr>
          <w:rStyle w:val="Char"/>
          <w:rFonts w:hint="cs"/>
          <w:rtl/>
        </w:rPr>
        <w:t xml:space="preserve"> وسألتُه قائلاً: يقولون إن الدولة تريد أولاً أن تنزع الحجاب، وثانيًا: أن تفصل علماء الدين عن السياسة؛ وثالثًا: نشرت بعض الصحف أمورًا مخالفة للدين. فأجابني حضرة الأشرف بعد برهة من الصمت بكل وقار: إن قضية الجمهورية تتعلق بالمقام الخاص بها. أما المسائل الأخرى فلما كنت متديِّنًا بدين الإسلام فإنني لا أرضى أبدًا بمثل تلك الأمور</w:t>
      </w:r>
      <w:r w:rsidRPr="0092648A">
        <w:rPr>
          <w:rStyle w:val="Char"/>
          <w:rtl/>
        </w:rPr>
        <w:t>»</w:t>
      </w:r>
      <w:r w:rsidRPr="0092648A">
        <w:rPr>
          <w:rStyle w:val="Char"/>
          <w:rFonts w:hint="cs"/>
          <w:rtl/>
        </w:rPr>
        <w:t>. ثم أضاف عين السلطنة قائلاً: «لقد سمعت خلاصةً عن هذا الأمر، ولكن ذلك السيد [يعني أسد الله خرقاني] كان يتصور أن رئيس الوزراء [رضا خان] سوف يتكلم بشكل واضح وعلني ضده. هذا السيد أسد الله من أهالي شزند، وهي قرية مجاورة لقرية كشمرز من أعمال مدينتنا قزوين. ولقد سمعت في شبابي أنه عندما كان السيد [أسد الله خرقاني] شابًا ومقيمًا في طهران، كان بابِيًّا. والله أعلم بحقيقة الحال. وابنه هو ذلك الشخص ذاته الذي كتب تلك المقالة المتضمنة لعبارات الكفر ونشرها في بداية عهد الحركة الدستورية في صحيفة حبل المتين اليومية في طهران ثم هرب، فحُبِس مدير صحيفة حبل المتين - وهو أخو مدير صحيفة حبل المتين التي تصدر في مدينة كلكوتا - بدلاً منه مدة ثلاث سنوات».</w:t>
      </w:r>
      <w:r w:rsidRPr="006E28E9">
        <w:rPr>
          <w:rStyle w:val="Char"/>
          <w:rFonts w:ascii="Arabic11 BT" w:hAnsi="Arabic11 BT" w:cs="Arabic11 BT"/>
          <w:vertAlign w:val="superscript"/>
          <w:rtl/>
        </w:rPr>
        <w:footnoteReference w:id="232"/>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وكتب عين السلطنة في موضع آخر عن أسد الله خرقاني يقول: «والشخص الثاني (من عالِمَي الدين في طهران اللذَيْن فقدا اعتبارهما مؤخرًا) السيد أسد الله خرقاني، الذي سيطر عدة سنوات على مسجد الحاج حسن معمار الواقع في بداية شارع الأرامنة في حي بوابة قزوين، وكان له عدة آلاف من المريدين. كان يقيم الصلاة ويلقي المواعظ ويقوم بكل النشاطات في ذلك المسجد. وبعد أن تكلم مدة من الزمن ضد الجمهورية، قام بنشر ذلك الإعلان الذي أشرت إليه. وقد تبين أنه قَبَضَ ألفي تومان وقام بذلك الإعلان ثم جلس ولزم الصمت، وبعد ذلك تفرق الناس عنه كلهم، حتى قيل إنهم لم يسمحوا لهم بالدخول إلى ذلك المسجد. كما قطعوا عنه راتب التومان الواحد الذي كان حقه من أوقاف المسجد.</w:t>
      </w:r>
      <w:r w:rsidRPr="006E28E9">
        <w:rPr>
          <w:rStyle w:val="Char"/>
          <w:rFonts w:ascii="Arabic11 BT" w:hAnsi="Arabic11 BT" w:cs="Arabic11 BT"/>
          <w:vertAlign w:val="superscript"/>
          <w:rtl/>
        </w:rPr>
        <w:footnoteReference w:id="233"/>
      </w:r>
      <w:r w:rsidRPr="0092648A">
        <w:rPr>
          <w:rStyle w:val="Char"/>
          <w:rFonts w:hint="cs"/>
          <w:rtl/>
        </w:rPr>
        <w:t xml:space="preserve"> وقد استمرت تلك النشاطات إلى أن قام رضا شاه مرة بضربه ولطمه بشدة ونفيه، وبعد أن عاد من المنفى طلق السياسة ثلاثًا وانصرف بكليته إلى النشاطات الثقافية».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فهرست مؤلفات خرقاني الذي كُتِبَ خلف كتاب البرهان الساطع (الذي طُبع في طهران عام 1314 هـ.ش) هو الآتي: </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
          <w:rFonts w:hint="cs"/>
          <w:rtl/>
        </w:rPr>
        <w:t>رسالة رد نصارى [رسالة في الرد على النصارى] وعنوانها (</w:t>
      </w:r>
      <w:r w:rsidRPr="008C7124">
        <w:rPr>
          <w:rStyle w:val="Char7"/>
          <w:rFonts w:hint="cs"/>
          <w:rtl/>
        </w:rPr>
        <w:t>كشف الغواية في رد الهداية</w:t>
      </w:r>
      <w:r w:rsidRPr="0092648A">
        <w:rPr>
          <w:rStyle w:val="Char"/>
          <w:rFonts w:hint="cs"/>
          <w:rtl/>
        </w:rPr>
        <w:t>).</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
          <w:rFonts w:hint="cs"/>
          <w:rtl/>
        </w:rPr>
        <w:t xml:space="preserve"> </w:t>
      </w:r>
      <w:r w:rsidRPr="0092648A">
        <w:rPr>
          <w:rStyle w:val="Char8"/>
          <w:rFonts w:hint="cs"/>
          <w:rtl/>
        </w:rPr>
        <w:t>رسال</w:t>
      </w:r>
      <w:r w:rsidR="008C7124">
        <w:rPr>
          <w:rStyle w:val="Char8"/>
          <w:rFonts w:hint="cs"/>
          <w:rtl/>
        </w:rPr>
        <w:t>ۀ</w:t>
      </w:r>
      <w:r w:rsidRPr="0092648A">
        <w:rPr>
          <w:rStyle w:val="Char8"/>
          <w:rFonts w:hint="cs"/>
          <w:rtl/>
        </w:rPr>
        <w:t xml:space="preserve"> اصول عقا</w:t>
      </w:r>
      <w:r w:rsidR="008C7124">
        <w:rPr>
          <w:rStyle w:val="Char8"/>
          <w:rFonts w:hint="cs"/>
          <w:rtl/>
        </w:rPr>
        <w:t>ی</w:t>
      </w:r>
      <w:r w:rsidRPr="0092648A">
        <w:rPr>
          <w:rStyle w:val="Char8"/>
          <w:rFonts w:hint="cs"/>
          <w:rtl/>
        </w:rPr>
        <w:t>د.</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
          <w:rFonts w:hint="cs"/>
          <w:rtl/>
        </w:rPr>
        <w:t xml:space="preserve"> </w:t>
      </w:r>
      <w:r w:rsidRPr="0092648A">
        <w:rPr>
          <w:rStyle w:val="Char8"/>
          <w:rFonts w:hint="cs"/>
          <w:rtl/>
        </w:rPr>
        <w:t>رسال</w:t>
      </w:r>
      <w:r w:rsidR="008C7124">
        <w:rPr>
          <w:rStyle w:val="Char8"/>
          <w:rFonts w:hint="cs"/>
          <w:rtl/>
        </w:rPr>
        <w:t>ۀ</w:t>
      </w:r>
      <w:r w:rsidRPr="0092648A">
        <w:rPr>
          <w:rStyle w:val="Char8"/>
          <w:rFonts w:hint="cs"/>
          <w:rtl/>
        </w:rPr>
        <w:t xml:space="preserve"> تنق</w:t>
      </w:r>
      <w:r w:rsidR="008C7124">
        <w:rPr>
          <w:rStyle w:val="Char8"/>
          <w:rFonts w:hint="cs"/>
          <w:rtl/>
        </w:rPr>
        <w:t>ی</w:t>
      </w:r>
      <w:r w:rsidRPr="0092648A">
        <w:rPr>
          <w:rStyle w:val="Char8"/>
          <w:rFonts w:hint="cs"/>
          <w:rtl/>
        </w:rPr>
        <w:t>د قوان</w:t>
      </w:r>
      <w:r w:rsidR="008C7124">
        <w:rPr>
          <w:rStyle w:val="Char8"/>
          <w:rFonts w:hint="cs"/>
          <w:rtl/>
        </w:rPr>
        <w:t>ی</w:t>
      </w:r>
      <w:r w:rsidRPr="0092648A">
        <w:rPr>
          <w:rStyle w:val="Char8"/>
          <w:rFonts w:hint="cs"/>
          <w:rtl/>
        </w:rPr>
        <w:t>ن عدل</w:t>
      </w:r>
      <w:r w:rsidR="008C7124">
        <w:rPr>
          <w:rStyle w:val="Char8"/>
          <w:rFonts w:hint="cs"/>
          <w:rtl/>
        </w:rPr>
        <w:t>یۀ</w:t>
      </w:r>
      <w:r w:rsidRPr="0092648A">
        <w:rPr>
          <w:rStyle w:val="Char8"/>
          <w:rFonts w:hint="cs"/>
          <w:rtl/>
        </w:rPr>
        <w:t xml:space="preserve"> </w:t>
      </w:r>
      <w:r w:rsidRPr="0092648A">
        <w:rPr>
          <w:rStyle w:val="Char"/>
          <w:rFonts w:hint="cs"/>
          <w:rtl/>
        </w:rPr>
        <w:t>[نقد قوانين وزارة العدل].</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رسال</w:t>
      </w:r>
      <w:r w:rsidR="008C7124">
        <w:rPr>
          <w:rStyle w:val="Char8"/>
          <w:rFonts w:hint="cs"/>
          <w:rtl/>
        </w:rPr>
        <w:t>ۀ</w:t>
      </w:r>
      <w:r w:rsidRPr="0092648A">
        <w:rPr>
          <w:rStyle w:val="Char8"/>
          <w:rFonts w:hint="cs"/>
          <w:rtl/>
        </w:rPr>
        <w:t xml:space="preserve"> روح التمدن وهو</w:t>
      </w:r>
      <w:r w:rsidR="008C7124">
        <w:rPr>
          <w:rStyle w:val="Char8"/>
          <w:rFonts w:hint="cs"/>
          <w:rtl/>
        </w:rPr>
        <w:t>یۀ</w:t>
      </w:r>
      <w:r w:rsidRPr="0092648A">
        <w:rPr>
          <w:rStyle w:val="Char8"/>
          <w:rFonts w:hint="cs"/>
          <w:rtl/>
        </w:rPr>
        <w:t xml:space="preserve"> الإسلام</w:t>
      </w:r>
      <w:r w:rsidRPr="0092648A">
        <w:rPr>
          <w:rStyle w:val="Char"/>
          <w:rFonts w:hint="cs"/>
          <w:rtl/>
        </w:rPr>
        <w:t>.</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رسال</w:t>
      </w:r>
      <w:r w:rsidR="008C7124">
        <w:rPr>
          <w:rStyle w:val="Char8"/>
          <w:rFonts w:hint="cs"/>
          <w:rtl/>
        </w:rPr>
        <w:t>ۀ</w:t>
      </w:r>
      <w:r w:rsidRPr="0092648A">
        <w:rPr>
          <w:rStyle w:val="Char8"/>
          <w:rFonts w:hint="cs"/>
          <w:rtl/>
        </w:rPr>
        <w:t xml:space="preserve"> رد دارو</w:t>
      </w:r>
      <w:r w:rsidR="008C7124">
        <w:rPr>
          <w:rStyle w:val="Char8"/>
          <w:rFonts w:hint="cs"/>
          <w:rtl/>
        </w:rPr>
        <w:t>ی</w:t>
      </w:r>
      <w:r w:rsidRPr="0092648A">
        <w:rPr>
          <w:rStyle w:val="Char8"/>
          <w:rFonts w:hint="cs"/>
          <w:rtl/>
        </w:rPr>
        <w:t>ن</w:t>
      </w:r>
      <w:r w:rsidR="008C7124">
        <w:rPr>
          <w:rStyle w:val="Char8"/>
          <w:rFonts w:hint="cs"/>
          <w:rtl/>
        </w:rPr>
        <w:t>ی</w:t>
      </w:r>
      <w:r w:rsidRPr="0092648A">
        <w:rPr>
          <w:rStyle w:val="Char8"/>
          <w:rFonts w:hint="cs"/>
          <w:rtl/>
        </w:rPr>
        <w:t>ست ها</w:t>
      </w:r>
      <w:r w:rsidRPr="0092648A">
        <w:rPr>
          <w:rStyle w:val="Char"/>
          <w:rFonts w:hint="cs"/>
          <w:rtl/>
        </w:rPr>
        <w:t xml:space="preserve"> [الرد على الداروينيين].</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رسال</w:t>
      </w:r>
      <w:r w:rsidR="008C7124">
        <w:rPr>
          <w:rStyle w:val="Char8"/>
          <w:rFonts w:hint="cs"/>
          <w:rtl/>
        </w:rPr>
        <w:t>ۀ</w:t>
      </w:r>
      <w:r w:rsidRPr="0092648A">
        <w:rPr>
          <w:rStyle w:val="Char8"/>
          <w:rFonts w:hint="cs"/>
          <w:rtl/>
        </w:rPr>
        <w:t xml:space="preserve"> </w:t>
      </w:r>
      <w:r w:rsidR="008C7124">
        <w:rPr>
          <w:rStyle w:val="Char8"/>
          <w:rFonts w:hint="cs"/>
          <w:rtl/>
        </w:rPr>
        <w:t>ک</w:t>
      </w:r>
      <w:r w:rsidRPr="0092648A">
        <w:rPr>
          <w:rStyle w:val="Char8"/>
          <w:rFonts w:hint="cs"/>
          <w:rtl/>
        </w:rPr>
        <w:t>ثرت ووحدت زواج</w:t>
      </w:r>
      <w:r w:rsidRPr="0092648A">
        <w:rPr>
          <w:rStyle w:val="Char"/>
          <w:rFonts w:hint="cs"/>
          <w:rtl/>
        </w:rPr>
        <w:t xml:space="preserve"> [تعدد الزواج ووحدته].</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پنج جزوه رد مبلغ</w:t>
      </w:r>
      <w:r w:rsidR="008C7124">
        <w:rPr>
          <w:rStyle w:val="Char8"/>
          <w:rFonts w:hint="cs"/>
          <w:rtl/>
        </w:rPr>
        <w:t>ی</w:t>
      </w:r>
      <w:r w:rsidRPr="0092648A">
        <w:rPr>
          <w:rStyle w:val="Char8"/>
          <w:rFonts w:hint="cs"/>
          <w:rtl/>
        </w:rPr>
        <w:t>ن نصارى</w:t>
      </w:r>
      <w:r w:rsidRPr="0092648A">
        <w:rPr>
          <w:rStyle w:val="Char"/>
          <w:rFonts w:hint="cs"/>
          <w:rtl/>
        </w:rPr>
        <w:t xml:space="preserve"> [خمس كتيبات في الرد على المبشرين النصارى].</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مختصر</w:t>
      </w:r>
      <w:r w:rsidR="008C7124">
        <w:rPr>
          <w:rStyle w:val="Char8"/>
          <w:rFonts w:hint="cs"/>
          <w:rtl/>
        </w:rPr>
        <w:t>ی</w:t>
      </w:r>
      <w:r w:rsidRPr="0092648A">
        <w:rPr>
          <w:rStyle w:val="Char8"/>
          <w:rFonts w:hint="cs"/>
          <w:rtl/>
        </w:rPr>
        <w:t xml:space="preserve"> در مرام جامعه مقدسه اسلام</w:t>
      </w:r>
      <w:r w:rsidR="008C7124">
        <w:rPr>
          <w:rStyle w:val="Char8"/>
          <w:rFonts w:hint="cs"/>
          <w:rtl/>
        </w:rPr>
        <w:t>ی</w:t>
      </w:r>
      <w:r w:rsidRPr="0092648A">
        <w:rPr>
          <w:rStyle w:val="Char"/>
          <w:rFonts w:hint="cs"/>
          <w:rtl/>
        </w:rPr>
        <w:t xml:space="preserve"> [رسالة مختصرة في هدف المجتمع الإسلامي المقدس].</w:t>
      </w:r>
    </w:p>
    <w:p w:rsidR="00E4364C" w:rsidRDefault="00DA6CFB" w:rsidP="00E4364C">
      <w:pPr>
        <w:pStyle w:val="ListParagraph"/>
        <w:widowControl w:val="0"/>
        <w:numPr>
          <w:ilvl w:val="0"/>
          <w:numId w:val="17"/>
        </w:numPr>
        <w:spacing w:line="216" w:lineRule="auto"/>
        <w:ind w:left="680" w:hanging="340"/>
        <w:jc w:val="both"/>
        <w:rPr>
          <w:rStyle w:val="Char"/>
        </w:rPr>
      </w:pPr>
      <w:r w:rsidRPr="0092648A">
        <w:rPr>
          <w:rStyle w:val="Char8"/>
          <w:rFonts w:hint="cs"/>
          <w:rtl/>
        </w:rPr>
        <w:t xml:space="preserve">رساله رد </w:t>
      </w:r>
      <w:r w:rsidR="008C7124">
        <w:rPr>
          <w:rStyle w:val="Char8"/>
          <w:rFonts w:hint="cs"/>
          <w:rtl/>
        </w:rPr>
        <w:t>ک</w:t>
      </w:r>
      <w:r w:rsidRPr="0092648A">
        <w:rPr>
          <w:rStyle w:val="Char8"/>
          <w:rFonts w:hint="cs"/>
          <w:rtl/>
        </w:rPr>
        <w:t>شف حجاب</w:t>
      </w:r>
      <w:r w:rsidRPr="0092648A">
        <w:rPr>
          <w:rStyle w:val="Char"/>
          <w:rFonts w:hint="cs"/>
          <w:rtl/>
        </w:rPr>
        <w:t xml:space="preserve"> [رسالة في الرد على كشف الحجاب].</w:t>
      </w:r>
    </w:p>
    <w:p w:rsidR="00E4364C" w:rsidRDefault="008C7124" w:rsidP="00E4364C">
      <w:pPr>
        <w:pStyle w:val="ListParagraph"/>
        <w:widowControl w:val="0"/>
        <w:numPr>
          <w:ilvl w:val="0"/>
          <w:numId w:val="17"/>
        </w:numPr>
        <w:spacing w:line="216" w:lineRule="auto"/>
        <w:ind w:left="794" w:hanging="454"/>
        <w:jc w:val="both"/>
        <w:rPr>
          <w:rStyle w:val="Char"/>
        </w:rPr>
      </w:pPr>
      <w:r>
        <w:rPr>
          <w:rStyle w:val="Char8"/>
          <w:rFonts w:hint="cs"/>
          <w:rtl/>
        </w:rPr>
        <w:t>ک</w:t>
      </w:r>
      <w:r w:rsidR="00DA6CFB" w:rsidRPr="0092648A">
        <w:rPr>
          <w:rStyle w:val="Char8"/>
          <w:rFonts w:hint="cs"/>
          <w:rtl/>
        </w:rPr>
        <w:t>تاب قضا وشهادات اسلام</w:t>
      </w:r>
      <w:r>
        <w:rPr>
          <w:rStyle w:val="Char8"/>
          <w:rFonts w:hint="cs"/>
          <w:rtl/>
        </w:rPr>
        <w:t>ی</w:t>
      </w:r>
      <w:r w:rsidR="00DA6CFB" w:rsidRPr="0092648A">
        <w:rPr>
          <w:rStyle w:val="Char"/>
          <w:rFonts w:hint="cs"/>
          <w:rtl/>
        </w:rPr>
        <w:t xml:space="preserve"> [القضاء والشهادة في الإسلام].</w:t>
      </w:r>
    </w:p>
    <w:p w:rsidR="00E4364C" w:rsidRDefault="00DA6CFB" w:rsidP="00E4364C">
      <w:pPr>
        <w:pStyle w:val="ListParagraph"/>
        <w:widowControl w:val="0"/>
        <w:numPr>
          <w:ilvl w:val="0"/>
          <w:numId w:val="17"/>
        </w:numPr>
        <w:spacing w:line="216" w:lineRule="auto"/>
        <w:ind w:left="794" w:hanging="454"/>
        <w:jc w:val="both"/>
        <w:rPr>
          <w:rStyle w:val="Char"/>
        </w:rPr>
      </w:pPr>
      <w:r w:rsidRPr="0092648A">
        <w:rPr>
          <w:rStyle w:val="Char8"/>
          <w:rFonts w:hint="cs"/>
          <w:rtl/>
        </w:rPr>
        <w:t>ساله نبوت خاصه وابد</w:t>
      </w:r>
      <w:r w:rsidR="008C7124">
        <w:rPr>
          <w:rStyle w:val="Char8"/>
          <w:rFonts w:hint="cs"/>
          <w:rtl/>
        </w:rPr>
        <w:t>ی</w:t>
      </w:r>
      <w:r w:rsidRPr="0092648A">
        <w:rPr>
          <w:rStyle w:val="Char8"/>
          <w:rFonts w:hint="cs"/>
          <w:rtl/>
        </w:rPr>
        <w:t>ت اسلام وحماسه با اد</w:t>
      </w:r>
      <w:r w:rsidR="008C7124">
        <w:rPr>
          <w:rStyle w:val="Char8"/>
          <w:rFonts w:hint="cs"/>
          <w:rtl/>
        </w:rPr>
        <w:t>ی</w:t>
      </w:r>
      <w:r w:rsidRPr="0092648A">
        <w:rPr>
          <w:rStyle w:val="Char8"/>
          <w:rFonts w:hint="cs"/>
          <w:rtl/>
        </w:rPr>
        <w:t>ان</w:t>
      </w:r>
      <w:r w:rsidRPr="0092648A">
        <w:rPr>
          <w:rStyle w:val="Char"/>
          <w:rFonts w:hint="cs"/>
          <w:rtl/>
        </w:rPr>
        <w:t xml:space="preserve"> [رسالة النبوة الخاصة وأبدية الإسلام وتفوقه على الأديان].</w:t>
      </w:r>
    </w:p>
    <w:p w:rsidR="00E4364C" w:rsidRDefault="00DA6CFB" w:rsidP="00E4364C">
      <w:pPr>
        <w:pStyle w:val="ListParagraph"/>
        <w:widowControl w:val="0"/>
        <w:numPr>
          <w:ilvl w:val="0"/>
          <w:numId w:val="17"/>
        </w:numPr>
        <w:spacing w:line="216" w:lineRule="auto"/>
        <w:ind w:left="794" w:hanging="454"/>
        <w:jc w:val="both"/>
        <w:rPr>
          <w:rStyle w:val="Char"/>
        </w:rPr>
      </w:pPr>
      <w:r w:rsidRPr="0092648A">
        <w:rPr>
          <w:rStyle w:val="Char8"/>
          <w:rFonts w:hint="cs"/>
          <w:rtl/>
        </w:rPr>
        <w:lastRenderedPageBreak/>
        <w:t>رساله در متشابهات قرآن وحد</w:t>
      </w:r>
      <w:r w:rsidR="008C7124">
        <w:rPr>
          <w:rStyle w:val="Char8"/>
          <w:rFonts w:hint="cs"/>
          <w:rtl/>
        </w:rPr>
        <w:t>ی</w:t>
      </w:r>
      <w:r w:rsidRPr="0092648A">
        <w:rPr>
          <w:rStyle w:val="Char8"/>
          <w:rFonts w:hint="cs"/>
          <w:rtl/>
        </w:rPr>
        <w:t>ث من فسّر القرآن، وحماسه علم</w:t>
      </w:r>
      <w:r w:rsidR="008C7124">
        <w:rPr>
          <w:rStyle w:val="Char8"/>
          <w:rFonts w:hint="cs"/>
          <w:rtl/>
        </w:rPr>
        <w:t>ی</w:t>
      </w:r>
      <w:r w:rsidRPr="0092648A">
        <w:rPr>
          <w:rStyle w:val="Char8"/>
          <w:rFonts w:hint="cs"/>
          <w:rtl/>
        </w:rPr>
        <w:t xml:space="preserve"> وعمل</w:t>
      </w:r>
      <w:r w:rsidR="008C7124">
        <w:rPr>
          <w:rStyle w:val="Char8"/>
          <w:rFonts w:hint="cs"/>
          <w:rtl/>
        </w:rPr>
        <w:t>ی</w:t>
      </w:r>
      <w:r w:rsidRPr="0092648A">
        <w:rPr>
          <w:rStyle w:val="Char8"/>
          <w:rFonts w:hint="cs"/>
          <w:rtl/>
        </w:rPr>
        <w:t xml:space="preserve"> بر تمام علما</w:t>
      </w:r>
      <w:r w:rsidR="008C7124">
        <w:rPr>
          <w:rStyle w:val="Char8"/>
          <w:rFonts w:hint="cs"/>
          <w:rtl/>
        </w:rPr>
        <w:t>ی</w:t>
      </w:r>
      <w:r w:rsidRPr="0092648A">
        <w:rPr>
          <w:rStyle w:val="Char8"/>
          <w:rFonts w:hint="cs"/>
          <w:rtl/>
        </w:rPr>
        <w:t xml:space="preserve"> نوع بشر از اد</w:t>
      </w:r>
      <w:r w:rsidR="008C7124">
        <w:rPr>
          <w:rStyle w:val="Char8"/>
          <w:rFonts w:hint="cs"/>
          <w:rtl/>
        </w:rPr>
        <w:t>ی</w:t>
      </w:r>
      <w:r w:rsidRPr="0092648A">
        <w:rPr>
          <w:rStyle w:val="Char8"/>
          <w:rFonts w:hint="cs"/>
          <w:rtl/>
        </w:rPr>
        <w:t>ان قد</w:t>
      </w:r>
      <w:r w:rsidR="008C7124">
        <w:rPr>
          <w:rStyle w:val="Char8"/>
          <w:rFonts w:hint="cs"/>
          <w:rtl/>
        </w:rPr>
        <w:t>ی</w:t>
      </w:r>
      <w:r w:rsidRPr="0092648A">
        <w:rPr>
          <w:rStyle w:val="Char8"/>
          <w:rFonts w:hint="cs"/>
          <w:rtl/>
        </w:rPr>
        <w:t>مه وجد</w:t>
      </w:r>
      <w:r w:rsidR="008C7124">
        <w:rPr>
          <w:rStyle w:val="Char8"/>
          <w:rFonts w:hint="cs"/>
          <w:rtl/>
        </w:rPr>
        <w:t>ی</w:t>
      </w:r>
      <w:r w:rsidRPr="0092648A">
        <w:rPr>
          <w:rStyle w:val="Char8"/>
          <w:rFonts w:hint="cs"/>
          <w:rtl/>
        </w:rPr>
        <w:t>ده</w:t>
      </w:r>
      <w:r w:rsidRPr="0092648A">
        <w:rPr>
          <w:rStyle w:val="Char"/>
          <w:rFonts w:hint="cs"/>
          <w:rtl/>
        </w:rPr>
        <w:t xml:space="preserve"> [رسالة في متشابهات القرآن، وحول حديث من فسّر القرآن (برأيه)، وتفوق الإسلام العلمي والعملي على جميع علماء بني الإنسان من الأديان القديمة والحديثة].</w:t>
      </w:r>
    </w:p>
    <w:p w:rsidR="00E4364C" w:rsidRDefault="00DA6CFB" w:rsidP="00E4364C">
      <w:pPr>
        <w:pStyle w:val="ListParagraph"/>
        <w:widowControl w:val="0"/>
        <w:numPr>
          <w:ilvl w:val="0"/>
          <w:numId w:val="17"/>
        </w:numPr>
        <w:spacing w:line="216" w:lineRule="auto"/>
        <w:ind w:left="794" w:hanging="454"/>
        <w:jc w:val="both"/>
        <w:rPr>
          <w:rStyle w:val="Char"/>
        </w:rPr>
      </w:pPr>
      <w:r w:rsidRPr="0092648A">
        <w:rPr>
          <w:rStyle w:val="Char8"/>
          <w:rFonts w:hint="cs"/>
          <w:rtl/>
        </w:rPr>
        <w:t>برهان الساطع ف</w:t>
      </w:r>
      <w:r w:rsidR="008C7124">
        <w:rPr>
          <w:rStyle w:val="Char8"/>
          <w:rFonts w:hint="cs"/>
          <w:rtl/>
        </w:rPr>
        <w:t>ی</w:t>
      </w:r>
      <w:r w:rsidRPr="0092648A">
        <w:rPr>
          <w:rStyle w:val="Char8"/>
          <w:rFonts w:hint="cs"/>
          <w:rtl/>
        </w:rPr>
        <w:t xml:space="preserve"> اثبات الصانع</w:t>
      </w:r>
      <w:r w:rsidRPr="0092648A">
        <w:rPr>
          <w:rStyle w:val="Char"/>
          <w:rFonts w:hint="cs"/>
          <w:rtl/>
        </w:rPr>
        <w:t>.</w:t>
      </w:r>
    </w:p>
    <w:p w:rsidR="00E4364C" w:rsidRDefault="00DA6CFB" w:rsidP="00E4364C">
      <w:pPr>
        <w:pStyle w:val="ListParagraph"/>
        <w:widowControl w:val="0"/>
        <w:numPr>
          <w:ilvl w:val="0"/>
          <w:numId w:val="17"/>
        </w:numPr>
        <w:spacing w:line="216" w:lineRule="auto"/>
        <w:ind w:left="794" w:hanging="454"/>
        <w:jc w:val="both"/>
        <w:rPr>
          <w:rStyle w:val="Char"/>
        </w:rPr>
      </w:pPr>
      <w:r w:rsidRPr="0092648A">
        <w:rPr>
          <w:rStyle w:val="Char8"/>
          <w:rFonts w:hint="cs"/>
          <w:rtl/>
        </w:rPr>
        <w:t>رساله حقوق اسلام</w:t>
      </w:r>
      <w:r w:rsidR="008C7124">
        <w:rPr>
          <w:rStyle w:val="Char8"/>
          <w:rFonts w:hint="cs"/>
          <w:rtl/>
        </w:rPr>
        <w:t>ی</w:t>
      </w:r>
      <w:r w:rsidRPr="0092648A">
        <w:rPr>
          <w:rStyle w:val="Char"/>
          <w:rFonts w:hint="cs"/>
          <w:rtl/>
        </w:rPr>
        <w:t>.</w:t>
      </w:r>
    </w:p>
    <w:p w:rsidR="00E4364C" w:rsidRDefault="00DA6CFB" w:rsidP="00E4364C">
      <w:pPr>
        <w:pStyle w:val="ListParagraph"/>
        <w:widowControl w:val="0"/>
        <w:numPr>
          <w:ilvl w:val="0"/>
          <w:numId w:val="17"/>
        </w:numPr>
        <w:spacing w:line="216" w:lineRule="auto"/>
        <w:ind w:left="794" w:hanging="454"/>
        <w:jc w:val="both"/>
        <w:rPr>
          <w:rStyle w:val="Char"/>
        </w:rPr>
      </w:pPr>
      <w:r w:rsidRPr="0092648A">
        <w:rPr>
          <w:rStyle w:val="Char8"/>
          <w:rFonts w:hint="cs"/>
          <w:rtl/>
        </w:rPr>
        <w:t>رساله در مفهوم ومصداق اولو الامر قرآن</w:t>
      </w:r>
      <w:r w:rsidR="008C7124">
        <w:rPr>
          <w:rStyle w:val="Char8"/>
          <w:rFonts w:hint="cs"/>
          <w:rtl/>
        </w:rPr>
        <w:t>ی</w:t>
      </w:r>
      <w:r w:rsidRPr="0092648A">
        <w:rPr>
          <w:rStyle w:val="Char"/>
          <w:rFonts w:hint="cs"/>
          <w:rtl/>
        </w:rPr>
        <w:t xml:space="preserve"> كه تا حال از مبتكرات آيات شريفه است [رسالة في مفهوم أولو الأمر في القرآن ومصداقهم وما استنبط حتى الآن من هذه الآيات الكريمة].</w:t>
      </w:r>
    </w:p>
    <w:p w:rsidR="00DA6CFB" w:rsidRPr="0092648A" w:rsidRDefault="00DA6CFB" w:rsidP="00E4364C">
      <w:pPr>
        <w:pStyle w:val="ListParagraph"/>
        <w:widowControl w:val="0"/>
        <w:numPr>
          <w:ilvl w:val="0"/>
          <w:numId w:val="17"/>
        </w:numPr>
        <w:spacing w:line="216" w:lineRule="auto"/>
        <w:ind w:left="794" w:hanging="454"/>
        <w:jc w:val="both"/>
        <w:rPr>
          <w:rStyle w:val="Char"/>
          <w:rtl/>
        </w:rPr>
      </w:pPr>
      <w:r w:rsidRPr="0092648A">
        <w:rPr>
          <w:rStyle w:val="Char"/>
          <w:rFonts w:hint="cs"/>
          <w:rtl/>
        </w:rPr>
        <w:t xml:space="preserve">رساله مقدسه </w:t>
      </w:r>
      <w:r w:rsidRPr="0092648A">
        <w:rPr>
          <w:rStyle w:val="Char8"/>
          <w:rFonts w:hint="cs"/>
          <w:rtl/>
        </w:rPr>
        <w:t>محو الموهوم وصحو المعلوم</w:t>
      </w:r>
      <w:r w:rsidRPr="0092648A">
        <w:rPr>
          <w:rStyle w:val="Char"/>
          <w:rFonts w:hint="cs"/>
          <w:rtl/>
        </w:rPr>
        <w:t xml:space="preserve"> [رسالة محو الموهوم وصحو المعلوم، المقدسة].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إحدى مؤلفات خرقاني رسالة </w:t>
      </w:r>
      <w:r w:rsidRPr="008C7124">
        <w:rPr>
          <w:rStyle w:val="Char7"/>
          <w:rFonts w:hint="cs"/>
          <w:rtl/>
        </w:rPr>
        <w:t>الرد على كشف الحجاب ووجوب الحجاب بحكم العقل وتصريحات كتاب الله والسنة النبوية</w:t>
      </w:r>
      <w:r w:rsidRPr="0092648A">
        <w:rPr>
          <w:rStyle w:val="Char"/>
          <w:rFonts w:hint="cs"/>
          <w:rtl/>
        </w:rPr>
        <w:t>، والتي كتبت سنة 1335 هـ.ق الموافق لـ 1296 هـ.ش. رغم أنه كانت لخرقاني سوابق في التجدد والعصرنة، إلا أنه تكلم في هذا الكتاب منتقدًا شيوع حب الدنيا والإقبال عليها، والاهتمام بالزخارف والزينات الظاهرية، والتغيير في وضع قانون الأحوال الشخصية، وأشار إلى اتفاق جميع ملل الإسلام على الحجاب وأن التشكيك في حكم الحجاب في الإسلام لا يمكنه إلا أن ينشأ من «أمراض دماغية واختلالات فكرية». وخرقاني هذا الذي كان في زمن من الأزمان من أهل التجدُّد والمطالبين بالملكية الدستورية، نراه الآن يقول إنه خلال السنوات الخمسة عشرة التي مضت على انطلاق حركة التجدد والعصرنة « قام المتظاهرون بالإسلام في عصرنا بتنفيذ الهدف عينه الذي كان أعداء الإسلام يريدون تحقيقه طيلة الألف سنة الماضية، وما يواصلون سعيهم هذا» وقد أصبح الوضع على نحو أصبح فيه شعبُنا «يقوم بهدم هويته المتميزة بيديه، وهي شرع الإسلام، ويستسلم بكل ذل إلى الأسر والعبودية للآخرين».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وأشار مرة أخرى إلى الاختلاف والتباين الجوهري بين التفكير الديني والتفكير الإلحادي، واعتبر أن مظاهر الفسق والفجور الغربية التي اتخذت شكلاً قانونيًّا ليست سوى استمرار ومواصلة للفكر الدهري الإلحادي. وانتقد في هذا الكتاب بشدة التحرر العصري الحديث الذي ينادي به </w:t>
      </w:r>
      <w:r w:rsidRPr="0092648A">
        <w:rPr>
          <w:rStyle w:val="Char"/>
          <w:rFonts w:hint="cs"/>
          <w:rtl/>
        </w:rPr>
        <w:lastRenderedPageBreak/>
        <w:t>البعض واعتبره مماثلاً لحرية الدابة الجموح.</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وفي كتاب آخر له بعنوان «</w:t>
      </w:r>
      <w:r w:rsidRPr="008C7124">
        <w:rPr>
          <w:rStyle w:val="Char7"/>
          <w:rFonts w:hint="cs"/>
          <w:rtl/>
        </w:rPr>
        <w:t>روح التمدن وهوية الإسلام</w:t>
      </w:r>
      <w:r w:rsidRPr="0092648A">
        <w:rPr>
          <w:rStyle w:val="Char"/>
          <w:rFonts w:hint="cs"/>
          <w:rtl/>
        </w:rPr>
        <w:t xml:space="preserve">»، الذي نشره سنة 1296 هـ.ق، حاول خرقاني أيضًا أن يبرهن على أن الديموقراطية الإسلامية أفضل من الديموقراطية الغربية. «الديموقراطية الإسلامية أتم وأكمل بدرجات كثيرة من ديموقراطية سائر الملل». وقال مشيرًا إلى معركة الاستبداد والحكم الدستوري: «قام المغلوبون في هذه المعركة والنهضة الوطنية بإطلاق سهامهم على جسد الإسلام المقدس». لقد تضمن ذلك الكتاب نوعًا من التفكير السياسي الإسلامي الجديد، الذي يسعى إلى البحث عن الديموقراطية واستخراجها من متن الإسلام ومن تاريخ الإسلام في عصره الذهبي الأول. ورغم ذلك كان يعتقد أن الحكم الدستوري لم يتحقق في إيران وأن « في إيران اليوم نظام ملكي دستوري بالاسم فقط، أما الموجود عمليًا فهو الاستبداد الاجتماعي والهرج والمرج».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خرقاني يأمل أن يتم تطبيق السياسية الإسلامية في إيران في يوم من الأيام، وكان يؤكد على ذلك قائلاً: «</w:t>
      </w:r>
      <w:r w:rsidRPr="00E4364C">
        <w:rPr>
          <w:rStyle w:val="Char7"/>
          <w:rFonts w:hint="cs"/>
          <w:rtl/>
        </w:rPr>
        <w:t>أبشركم أنه سوف يتم تطبيق السياسي الإسلامية في نهاية المطاف في إيران</w:t>
      </w:r>
      <w:r w:rsidRPr="0092648A">
        <w:rPr>
          <w:rStyle w:val="Char"/>
          <w:rFonts w:hint="cs"/>
          <w:rtl/>
        </w:rPr>
        <w:t>». في التنبيه السابع أكد خرقاني مرَّةً ثانيةً على أن دين الإسلام دين سياسي، واعتبر أنّ حفظ الإسلام الجماعي رهين بارتباطه بالسياسة. هذا في حين أن الإسلام الشخصي أمر فردي. وقام بنوع من التهديد للدولة قائلاً: لو تم فصل الإسلام عن الحكومة والدولة «فسوف تُراق دماء حارة على ساحة الجهاد الديني الحمراء، وأن هذا سيدفع فدائيي الإسلام [إلى الثورة]».</w:t>
      </w:r>
      <w:r w:rsidRPr="006E28E9">
        <w:rPr>
          <w:rStyle w:val="Char"/>
          <w:rFonts w:ascii="Arabic11 BT" w:hAnsi="Arabic11 BT" w:cs="Arabic11 BT"/>
          <w:vertAlign w:val="superscript"/>
          <w:rtl/>
        </w:rPr>
        <w:footnoteReference w:id="234"/>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هذه العبارة نجد على نحو عجيب عنوان «فدائيان اسلام» [أي: فدائيو الإسلام] وكلامًا عن التحولات التي حصلت فيما بعد في إيران.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ولِـخَرَقاني أيضًا رسالة في الرد على الداروينية عنوانها «</w:t>
      </w:r>
      <w:r w:rsidRPr="0092648A">
        <w:rPr>
          <w:rStyle w:val="Char8"/>
          <w:rFonts w:hint="cs"/>
          <w:rtl/>
        </w:rPr>
        <w:t>نقد مقال</w:t>
      </w:r>
      <w:r w:rsidR="008C7124">
        <w:rPr>
          <w:rStyle w:val="Char8"/>
          <w:rFonts w:hint="cs"/>
          <w:rtl/>
        </w:rPr>
        <w:t>ۀ</w:t>
      </w:r>
      <w:r w:rsidRPr="0092648A">
        <w:rPr>
          <w:rStyle w:val="Char8"/>
          <w:rFonts w:hint="cs"/>
          <w:rtl/>
        </w:rPr>
        <w:t xml:space="preserve"> الدارو</w:t>
      </w:r>
      <w:r w:rsidR="008C7124">
        <w:rPr>
          <w:rStyle w:val="Char8"/>
          <w:rFonts w:hint="cs"/>
          <w:rtl/>
        </w:rPr>
        <w:t>ی</w:t>
      </w:r>
      <w:r w:rsidRPr="0092648A">
        <w:rPr>
          <w:rStyle w:val="Char8"/>
          <w:rFonts w:hint="cs"/>
          <w:rtl/>
        </w:rPr>
        <w:t>ن</w:t>
      </w:r>
      <w:r w:rsidR="008C7124">
        <w:rPr>
          <w:rStyle w:val="Char8"/>
          <w:rFonts w:hint="cs"/>
          <w:rtl/>
        </w:rPr>
        <w:t>یی</w:t>
      </w:r>
      <w:r w:rsidRPr="0092648A">
        <w:rPr>
          <w:rStyle w:val="Char8"/>
          <w:rFonts w:hint="cs"/>
          <w:rtl/>
        </w:rPr>
        <w:t>ن</w:t>
      </w:r>
      <w:r w:rsidRPr="0092648A">
        <w:rPr>
          <w:rStyle w:val="Char"/>
          <w:rFonts w:hint="cs"/>
          <w:rtl/>
        </w:rPr>
        <w:t>»، كتبها وطبعها سنة 1299 هـ.ش. وفي كتابه الآخر «</w:t>
      </w:r>
      <w:r w:rsidRPr="0092648A">
        <w:rPr>
          <w:rStyle w:val="Char8"/>
          <w:rFonts w:hint="cs"/>
          <w:rtl/>
        </w:rPr>
        <w:t>نقد قوان</w:t>
      </w:r>
      <w:r w:rsidR="008C7124">
        <w:rPr>
          <w:rStyle w:val="Char8"/>
          <w:rFonts w:hint="cs"/>
          <w:rtl/>
        </w:rPr>
        <w:t>ی</w:t>
      </w:r>
      <w:r w:rsidRPr="0092648A">
        <w:rPr>
          <w:rStyle w:val="Char8"/>
          <w:rFonts w:hint="cs"/>
          <w:rtl/>
        </w:rPr>
        <w:t>ن وزار</w:t>
      </w:r>
      <w:r w:rsidR="008C7124">
        <w:rPr>
          <w:rStyle w:val="Char8"/>
          <w:rFonts w:hint="cs"/>
          <w:rtl/>
        </w:rPr>
        <w:t>ۀ</w:t>
      </w:r>
      <w:r w:rsidRPr="0092648A">
        <w:rPr>
          <w:rStyle w:val="Char8"/>
          <w:rFonts w:hint="cs"/>
          <w:rtl/>
        </w:rPr>
        <w:t xml:space="preserve"> العدل</w:t>
      </w:r>
      <w:r w:rsidRPr="0092648A">
        <w:rPr>
          <w:rStyle w:val="Char"/>
          <w:rFonts w:hint="cs"/>
          <w:rtl/>
        </w:rPr>
        <w:t>» انتقد خرقاني بشدة التغييرات التي حدثت في القانون الجديد الذي اعتُمِد في وزارة العدل. وسعى في رسالته الأخرى «</w:t>
      </w:r>
      <w:r w:rsidRPr="00E4364C">
        <w:rPr>
          <w:rStyle w:val="Char7"/>
          <w:rFonts w:hint="cs"/>
          <w:rtl/>
        </w:rPr>
        <w:t>القضاء والشهادات والمحاكمات الحقوقية الإسلامية الأبدية</w:t>
      </w:r>
      <w:r w:rsidRPr="0092648A">
        <w:rPr>
          <w:rStyle w:val="Char"/>
          <w:rFonts w:hint="cs"/>
          <w:rtl/>
        </w:rPr>
        <w:t xml:space="preserve">» إلى تدوين نظام حقوقي جديد يستند إلى الأحكام الفقهية القضائية. </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أما أهم وأبرز ما كتبه خرقاني - وهو في الواقع آخر مؤلفاته وطُبِعَ بعد وفاته بهمة آية الله طالقاني - فهو كتابه «</w:t>
      </w:r>
      <w:r w:rsidRPr="0092648A">
        <w:rPr>
          <w:rStyle w:val="Char8"/>
          <w:rFonts w:hint="cs"/>
          <w:rtl/>
        </w:rPr>
        <w:t>محو الموهوم وصحو المعلوم</w:t>
      </w:r>
      <w:r w:rsidRPr="0092648A">
        <w:rPr>
          <w:rStyle w:val="Char"/>
          <w:rFonts w:hint="cs"/>
          <w:rtl/>
        </w:rPr>
        <w:t>» الذي طُبِعَ سنة 1339 هـ.ش. قبل ذلك طُبِع كتابٌ يحمل العنوان ذاته «</w:t>
      </w:r>
      <w:r w:rsidRPr="0092648A">
        <w:rPr>
          <w:rStyle w:val="Char8"/>
          <w:rFonts w:hint="cs"/>
          <w:rtl/>
        </w:rPr>
        <w:t>محو الموهوم</w:t>
      </w:r>
      <w:r w:rsidRPr="0092648A">
        <w:rPr>
          <w:rStyle w:val="Char"/>
          <w:rFonts w:hint="cs"/>
          <w:rtl/>
        </w:rPr>
        <w:t>» كان قد ألَّفه شريعت سنگلجي. وقد عرض خرقاني في كتابه هذا أفكاره التجديدية العصرية التي تشابه إلى حد كبير بعض أفكار شريعت سنگلجي. لقد كان متأثرًا في ذلك العصر بالنزعة الإصلاحية التي تزعمّها رضا شاه والتي أثّرت على كثير من الناس. كانت معظم تلك الانتقادات - بنحو من الأنحاء - انتقادات للتشيع وعقائده. لقد أعلن في كتابه أن هدفه من تأليفه هو «بيان سبب انحطاط المسلمين» وسعى فيه عمليًّا لاستعراض حالة المجتمع الإسلامي ككل استعراضًا نقديًّا، هذا رغم أن نظام الكتاب متناثر وغير منتظم. وأعرب في كتابه عن إعجابه بفترة الأربعين سنة الأولى من صدر الإسلام، واعتبر أن من أهم العوامل التي أدت إلى انحطاط المسلمين «تركهم العمل بسياسات الإسلام المقررة»، واعتبر أن المثال الذي ينبغي على المسلمين التأسي به هو تلك الأربعين سنة الأولى من تاريخ الإسلام [أي فترة الخلفاء الراشدين].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وبالنظر إلى انتشار الأفكار المادية في عهده، وَجَّهَ خرقاني تحذيرًا للعلماء قائلاً: لا يمكن الحفاظ على الدين بالاستناد إلى مسألة التعبد فحسب. اليوم «مع الاكتشافات الاستثنائية الهائلة» نحن ملزمون «أن نُفْهِم البشرية الأحكام الصادرة عن الله بالبرهان والدليل، أما التعبير بالتعبد في الشرعيات فلن يكون كافيًا في إثبات أحقية الشريعة وترويجها».</w:t>
      </w:r>
      <w:r w:rsidRPr="006E28E9">
        <w:rPr>
          <w:rStyle w:val="Char"/>
          <w:rFonts w:ascii="Arabic11 BT" w:hAnsi="Arabic11 BT" w:cs="Arabic11 BT"/>
          <w:vertAlign w:val="superscript"/>
          <w:rtl/>
        </w:rPr>
        <w:footnoteReference w:id="235"/>
      </w:r>
      <w:r w:rsidRPr="0092648A">
        <w:rPr>
          <w:rStyle w:val="Char"/>
          <w:rFonts w:hint="cs"/>
          <w:rtl/>
        </w:rPr>
        <w:t xml:space="preserve"> وحول موضوع الانحطاط كان خرقاني يعتقد أن العلماء هم سببٌ مهم في هذا الانحطاط وذلك بسبب ممالأتهم للسلاطين ومماشاتهم لهم [في ظلمهم وفسادهم واستبدادهم]، بالإضافة إلى الاختلافات الداخلية والتشتُّت الفكري الذي ظهر في أوساط «الشيعة الاثني عشرية بين المجتهدين والأخباريين وبين الكشفيين والشيخيين والعرفاء والحكماء [الفلاسفة]». وقد دافع في هذا الكتاب عن نوع من الجمهورية الإسلامية التي تختلف، بالطبع، عن جمهورية سائر الملل، وأن «الركن الأساسي في هذه الجمهورية الإسلامية هو الديانة وعبادة الله والمساواة الدينية والأخوّة»، وأنها ليست مجرد «انتخاب رئيس الجمهورية والسعي إلى تَقَدُّم البلاد ورُقِيِّها مع المحافظة على الاعتقاد بالدهرية [الإلحاد] والمادية».</w:t>
      </w:r>
      <w:r w:rsidRPr="006E28E9">
        <w:rPr>
          <w:rStyle w:val="Char"/>
          <w:rFonts w:ascii="Arabic11 BT" w:hAnsi="Arabic11 BT" w:cs="Arabic11 BT"/>
          <w:vertAlign w:val="superscript"/>
          <w:rtl/>
        </w:rPr>
        <w:footnoteReference w:id="236"/>
      </w:r>
      <w:r w:rsidRPr="0092648A">
        <w:rPr>
          <w:rStyle w:val="Char"/>
          <w:rFonts w:hint="cs"/>
          <w:rtl/>
        </w:rPr>
        <w:t xml:space="preserve"> ولكي يبرهن على صحة الجمهورية لم يرَ حلّاً سوى أن يبتعد إلى حد كبير عن نظرية الإمامة الشيعية. وقد قام بهذا </w:t>
      </w:r>
      <w:r w:rsidRPr="0092648A">
        <w:rPr>
          <w:rStyle w:val="Char"/>
          <w:rFonts w:hint="cs"/>
          <w:rtl/>
        </w:rPr>
        <w:lastRenderedPageBreak/>
        <w:t>العمل من خلال تفسيره لعبارة «أولي الأمر» وقوله إن المقصود منها هو رئيس الجمهورية، ومن خلال تشكيكه في دلالة حديث الغدير، وقد طرح ذلك برفقة بعض العبارات والموضوعات المتناثرة الأخرى. يقول خرقاني حول «أولي الأمر» إنه يجب على العلماء أن يبيّنوا صفات أولي الأمر للناس، وعلى الناس أن ينتخبوا من تتوفّر فيهم هذه الصفات، أي ينتخبوا مصداق أولي الأمر. وقال: «ليس في الإسلام ملك الملوك، والإسلام يحتاج إلى من يطبق أحكامه».</w:t>
      </w:r>
      <w:r w:rsidRPr="006E28E9">
        <w:rPr>
          <w:rStyle w:val="Char"/>
          <w:rFonts w:ascii="Arabic11 BT" w:hAnsi="Arabic11 BT" w:cs="Arabic11 BT"/>
          <w:vertAlign w:val="superscript"/>
          <w:rtl/>
        </w:rPr>
        <w:footnoteReference w:id="237"/>
      </w:r>
      <w:r w:rsidRPr="0092648A">
        <w:rPr>
          <w:rStyle w:val="Char"/>
          <w:rFonts w:hint="cs"/>
          <w:rtl/>
        </w:rPr>
        <w:t xml:space="preserve"> وإلى جانب اعتقاده بنوع من التجدد فإنه كان يُعْربُ عن قلقه من الحركة الدستورية وتبعاتها وآثارها على الأصعدة المختلفة، لاسيما تماشيها مع حركة الإلحاد العالمي، ويقول: «والأعجب من كل ذلك هو عهد الثورة الدستورية وعهد الحاكم المستبد، أي مرحلة القرن الذهبي للماديين وقرن معاقبة الإلهيين وتعذيبهم، وذلك عندما قام حفنة من مثيري الشغب وأصحاب الأهواء ممن يتصفون بالخصال الحيوانية والبهيمية بالنفخ في بوق نسخ الأديان، وأعلنوا الدستورية وأخذوا يزمِّرون بمزمار الأجانب في آذان المتدينين الكارهين للجن! وعلى الفور انقسم أولئك المساكين الحائرون إلى فريقين: فريق كان ينفخ في بوق الاستبداد في الساحات والأسواق بأعلى صوت قائلاً: إننا لن نتخلى عن مسلك الاستقلال والحرية السابق. أما الفريق الآخر فكان يطرح اتِّباع الدولة الصناعية الغربية وتقدُّم ورُقيّ صناعاتها وثرواتها ويشتغل بعزف موسيقى العصر الحديث. وقاموا بتنويم الشعب في إيران بالبهرجة التي طرحوها أمامه فأصبح الشعب كالجمل السكران الذي تم تنويمه مغنطيسياً لأجل أن يضحي بدماء الأصدقاء وأموال المحتاجين في سبيل الملكية الدستورية، حتى وقع ما وقع».</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إن كتاب </w:t>
      </w:r>
      <w:r w:rsidRPr="0092648A">
        <w:rPr>
          <w:rStyle w:val="Char8"/>
          <w:rFonts w:hint="cs"/>
          <w:rtl/>
        </w:rPr>
        <w:t>محو الموهوم</w:t>
      </w:r>
      <w:r w:rsidRPr="0092648A">
        <w:rPr>
          <w:rStyle w:val="Char"/>
          <w:rFonts w:hint="cs"/>
          <w:rtl/>
        </w:rPr>
        <w:t xml:space="preserve"> من الكتب التي تستحق الدراسة والتحليل في تلك الفترة الزمنية، لا لتأثيره في الأفكار اللاحقة، بل لأنه يمثل مرآة يمكننا أن نلاحظ من خلالها جوانب تسييس الإسلام، وتأثير الجوانب المختلفة للتجدد والعصرنة في الفكر الديني، والذي تزامن مع ظهور الفكر السياسي الجديد في الإسلام الذي سعى إلى إيجاد نوع من الجمهورية الإسلامية.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منظرو النظام البهلوي يعتقدون أن هذه الحركة الإصلاحية قد انطلقت كمواصلة ومتابعة للمواقف التي سعت دولة رضا خان [بهلوي] عبرها إلى فصل الدين عن السياسة وإلى القضاء على الشعائر والطقوس المذهبية التي كانت تُطلِق عليها اسم الخرافات. في هذا النوع من الحركات كانت يتم الهجوم على علماء الدين التقليديين وحتى على مراجع تقليد الشيعة. ولهذا السبب بالذات، كانت </w:t>
      </w:r>
      <w:r w:rsidRPr="0092648A">
        <w:rPr>
          <w:rStyle w:val="Char"/>
          <w:rFonts w:hint="cs"/>
          <w:rtl/>
        </w:rPr>
        <w:lastRenderedPageBreak/>
        <w:t>تلك الحركات تعجب الدولة الرضاخانية. وفي المقابل كان هؤلاء الأفراد أيضًا يدافعون عن المَلِك رضا شاه وسياساته، ونجد نموذجاً واضحاً على ذلك في كتاب «</w:t>
      </w:r>
      <w:r w:rsidRPr="0092648A">
        <w:rPr>
          <w:rStyle w:val="Char8"/>
          <w:rFonts w:hint="cs"/>
          <w:rtl/>
        </w:rPr>
        <w:t>أسرار هزار ساله</w:t>
      </w:r>
      <w:r w:rsidRPr="0092648A">
        <w:rPr>
          <w:rStyle w:val="Char"/>
          <w:rFonts w:hint="cs"/>
          <w:rtl/>
        </w:rPr>
        <w:t>» [أي أسرار ألف عام، تأليف حكمي زاده]. وبعد ذلك بدأ الماركسيون أيضًا هجومهم على علماء الدين بشكل مخفي وتحت شعارات مختلفة، وبدؤوا أيضًا بشَتْم رجال الدين وتجريحهم. ومن ذلك أنهم طبعوا كتاباً بعنوان «</w:t>
      </w:r>
      <w:r w:rsidRPr="0092648A">
        <w:rPr>
          <w:rStyle w:val="Char8"/>
          <w:rFonts w:hint="cs"/>
          <w:rtl/>
        </w:rPr>
        <w:t>نگهبانان سحر و افسون</w:t>
      </w:r>
      <w:r w:rsidRPr="0092648A">
        <w:rPr>
          <w:rStyle w:val="Char"/>
          <w:rFonts w:hint="cs"/>
          <w:rtl/>
        </w:rPr>
        <w:t>» [أي: حُرَّاس السِّحر والشعوذة] في نقد علماء الدين، وقد أُشيع أنّ أَتْباع حزب توده هم الذين قاموا بنشره. وقد وقعت في هذا الكتاب أشد الهجمات التي يمكن تصوّرها ضد علماء الدين.</w:t>
      </w:r>
      <w:r w:rsidRPr="006E28E9">
        <w:rPr>
          <w:rStyle w:val="Char"/>
          <w:rFonts w:ascii="Arabic11 BT" w:hAnsi="Arabic11 BT" w:cs="Arabic11 BT"/>
          <w:vertAlign w:val="superscript"/>
          <w:rtl/>
        </w:rPr>
        <w:footnoteReference w:id="23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ومن حيث المبدأ كانت الحركات التي تنهض في وسط علماء الدين ومن بعض رجال الدين وتقوم بنشاطات تحت عنوان محاربة الخرافات، بغض النظر عن مواقفها النقدية تجاه المذهب وشدة تلك المواقف أو ضعفها، بل وحتى صحة بعض ما يطرحونه مما يمكن في نهاية المطاف أن يحظى بتأييد علماء الدين المتقدمين في العلم ومراجع التقليد أيضًا، كانت حركات منفصلة عن خط المرجعية. لقد استطاع أولئك الأفراد، استنادًا -أحيانًا- إلى مكانتهم العلمية والاجتماعية بين الناس، أن يُرَبُّوا في صفوفهم أفرادًا من علماء الدين، وكان بعض طلاب العلوم الدينية يخرجون أحيانًا من قم والنجف ويقيمون في طهران وسائر المدن، وينضمون إلى تلك الحركات [التصحيحية المحارِبَة </w:t>
      </w:r>
      <w:r w:rsidRPr="0092648A">
        <w:rPr>
          <w:rStyle w:val="Char"/>
          <w:rFonts w:hint="cs"/>
          <w:rtl/>
        </w:rPr>
        <w:lastRenderedPageBreak/>
        <w:t>للخرافات والمطالبة إعادة النظر في عقائد الشيعة]. لقد تواصلت الحركة المذكورة في إيران ولم تُبْدِ أي استعداد أبدًا لقبول الرجوع إلى المرجعية الدينية التي كانت مستقرة في النجف أو قم. ولهذا السبب لم تحظ بالقبول لدى عامة الشيعة، وهذا لا يمنع أن تكون بعض آرائهم قد اكتسبت مزيدًا من التقبُّل لدى الناس بشكل تدريجي وبالتزامن مع اتساع التجدُّد وضغط الرأي العام.</w:t>
      </w:r>
    </w:p>
    <w:p w:rsidR="00DA6CFB" w:rsidRDefault="00DA6CFB" w:rsidP="0092648A">
      <w:pPr>
        <w:pStyle w:val="2"/>
        <w:rPr>
          <w:rtl/>
        </w:rPr>
      </w:pPr>
      <w:bookmarkStart w:id="26" w:name="_Toc444083813"/>
      <w:r>
        <w:rPr>
          <w:rFonts w:hint="cs"/>
          <w:rtl/>
        </w:rPr>
        <w:t>3. أحمد كسروي</w:t>
      </w:r>
      <w:bookmarkEnd w:id="26"/>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أحمد كسروي نموذجًا متطرّفًا لمنتقدي الدين والمذهب وحتى لنصوص الأدب الفارسي الكلاسيكية، مستخدمًا لغةً حادّةً وشديدةً في نقده لها وهجومه عليها. وقد ذكرنا بعض الأمور في الفصول الأولى من الكتاب الحالي حوله، وسنمرُّ هنا مرورًا أكثر توسّعًا على أفكاره.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كبداية، من الضروري أن نُذكّر هنا أنه ما كان ينبغي -في الواقع- أن ندرج اسم كسروي ضمن قائمة الذين نتحدث عنهم في هذا الفصل؛ لأنه في رؤيته التجديدية والتصحيحية لم يُبْقِ شيئًا من الدين تقريبًا؛ إلا أنه رغم ذلك انطلق في بداية أمره من النقطة ذاتها التي انطلق بها الذين نتكلم عنهم في هذا الفصل، أي المطالبة بالإصلاح والتجديد. طبقًا لأحد الكتاب، رغم أن كسروي كان يفكر في إصلاح الدين إلا أنه «اتخذ طريقًا منفصلاً عن طريق كل المطالبين بالإصلاح»، لأنه «كان يعتقد أن الدين يَتْبَع مقتضيات الزمان، وأن البشر لا مناص لهم من ظهور دينٍ جديدٍ مُؤَيَّدٍ بسلاح العقل، وأخلاقٍ جديدةٍ تتناسب مع كل مرحلة من مراحل تاريخ البشرية».</w:t>
      </w:r>
      <w:r w:rsidRPr="006E28E9">
        <w:rPr>
          <w:rStyle w:val="Char"/>
          <w:rFonts w:ascii="Arabic11 BT" w:hAnsi="Arabic11 BT" w:cs="Arabic11 BT"/>
          <w:vertAlign w:val="superscript"/>
          <w:rtl/>
        </w:rPr>
        <w:footnoteReference w:id="239"/>
      </w:r>
      <w:r w:rsidRPr="0092648A">
        <w:rPr>
          <w:rStyle w:val="Char"/>
          <w:rFonts w:hint="cs"/>
          <w:rtl/>
        </w:rPr>
        <w:t xml:space="preserve"> لقد كانت تلك نظرة الغرب في القرن التاسع عشر إلى الحضارة والفلسفة والدين. ولهذا السبب كان كسروي -خلافًا لأغلب الإصلاحيين والتصحيحيين المتجددين- لا يوصي بالعودة إلى السلف وإلى الإسلام في مرحلته الأولى، بل كان يعتبر مثل ذلك أمرًا محالاً. كان المهم في نظره، أخذ جوهر الدين ورسالته الأساسية فقط. «الاعتقاد بأن العالم خُلِقَ لغاية وهدف، الإيمان بوجود الخالق، الاعتقاد بالحياة الأخروية، والعيش طبقًا لشريعة الحكمة والعقل». تلك كانت الأسس المشتركة لجميع الأديان في نظره.</w:t>
      </w:r>
      <w:r w:rsidRPr="006E28E9">
        <w:rPr>
          <w:rStyle w:val="Char"/>
          <w:rFonts w:ascii="Arabic11 BT" w:hAnsi="Arabic11 BT" w:cs="Arabic11 BT"/>
          <w:vertAlign w:val="superscript"/>
          <w:rtl/>
        </w:rPr>
        <w:footnoteReference w:id="240"/>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كسروي يمارس نشاطه بكل حريةٍ طيلة فترة حكم [الشاه] رضا خان، وما بعدها، وكان لا </w:t>
      </w:r>
      <w:r w:rsidRPr="0092648A">
        <w:rPr>
          <w:rStyle w:val="Char"/>
          <w:rFonts w:hint="cs"/>
          <w:rtl/>
        </w:rPr>
        <w:lastRenderedPageBreak/>
        <w:t xml:space="preserve">يألو جهدًا خلال ذلك في توجيه انتقادات حادة في مجلاته وكتبه للعقائد الدينية والمذهبية السائدة في البلاد. حتى آخر عهد حكم رضا شاه لم يكن موقفه ضد التشيُّع قد بلغ ذروة حِدَّته بعد، ولكن في الفترة التي تلت ذلك، ولاسيما عندما بدأ يحس أن الدين وعلماء الدين يستعدون للعودة من جديد إلى الساحة، بَدَأَ بنقد التشيع بشكل حادّ. في هذا الإطار كتب سنة 1322 هـ.ش [1943م] كتابه </w:t>
      </w:r>
      <w:r w:rsidRPr="0092648A">
        <w:rPr>
          <w:rStyle w:val="Char8"/>
          <w:rFonts w:hint="cs"/>
          <w:rtl/>
        </w:rPr>
        <w:t>ش</w:t>
      </w:r>
      <w:r w:rsidR="008C7124">
        <w:rPr>
          <w:rStyle w:val="Char8"/>
          <w:rFonts w:hint="cs"/>
          <w:rtl/>
        </w:rPr>
        <w:t>ی</w:t>
      </w:r>
      <w:r w:rsidRPr="0092648A">
        <w:rPr>
          <w:rStyle w:val="Char8"/>
          <w:rFonts w:hint="cs"/>
          <w:rtl/>
        </w:rPr>
        <w:t>ع</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
          <w:rFonts w:hint="cs"/>
          <w:rtl/>
        </w:rPr>
        <w:t>، وحمل فيه حملة شعواء على شعائر التشيع وطقوسه تحت عنوان محاربة الخرافة. كان هذا الكتاب أكثر كتب كسروي ومؤلفاته إثارة للجدل وإحداثًا للضجة والصخب، وقد كتبه على أعتاب انتخابات المجلس الرابع عشر سنة 1322 هـ.ش، وتُرجم إلى اللغة العربية تحت عنوان «</w:t>
      </w:r>
      <w:r w:rsidRPr="008C7124">
        <w:rPr>
          <w:rStyle w:val="Char7"/>
          <w:rFonts w:hint="cs"/>
          <w:rtl/>
        </w:rPr>
        <w:t>الشيعة والتشيع</w:t>
      </w:r>
      <w:r w:rsidRPr="0092648A">
        <w:rPr>
          <w:rStyle w:val="Char"/>
          <w:rFonts w:hint="cs"/>
          <w:rtl/>
        </w:rPr>
        <w:t xml:space="preserve">». في ذلك الوقت لم يكن قد مضى سوى زمن قصير على سفر آية الله السيد حسين القمي إلى إيران، وأعقب ذلك انتشار موجة من الصحوة الدينية في إيران. ورغم أن أحمد كسروي كان هو نفسه من زعماء المطالبين بالإصلاح في عصر رضا شاه ومن رواد ذلك التيار إلا أنه لما رأى أن كل جهوده، وكل مساعي رضا شاه وأجهزته المستبدة العصرية قد ذهبت أدراج الرياح، شعر بالغضب والسخط الشديد، وانعكس سخطه هذا في تأليفه لكتاب </w:t>
      </w:r>
      <w:r w:rsidRPr="0092648A">
        <w:rPr>
          <w:rStyle w:val="Char8"/>
          <w:rFonts w:hint="cs"/>
          <w:rtl/>
        </w:rPr>
        <w:t>ش</w:t>
      </w:r>
      <w:r w:rsidR="008C7124">
        <w:rPr>
          <w:rStyle w:val="Char8"/>
          <w:rFonts w:hint="cs"/>
          <w:rtl/>
        </w:rPr>
        <w:t>ی</w:t>
      </w:r>
      <w:r w:rsidRPr="0092648A">
        <w:rPr>
          <w:rStyle w:val="Char8"/>
          <w:rFonts w:hint="cs"/>
          <w:rtl/>
        </w:rPr>
        <w:t>ع</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
          <w:rFonts w:hint="cs"/>
          <w:rtl/>
        </w:rPr>
        <w:t xml:space="preserve"> [الشيعة والتشيع]. لقد كان ذلك الكتاب حادًّا إلى درجة أن جهاز الرقابة في نظام البهلوي نفسه منع من إعادة طباعته وقال مُبَرِّرًا ذلك: «لقد أظهر مؤلف هذا الكتاب فساد عقيدته، والكتاب كله من أوله لآخره ترويج للفساد. كما أشير إليه بوصفه أكثر كتب كسروي ضررًا، وقيل إن جميع ما فيه كفر وزندقة».</w:t>
      </w:r>
      <w:r w:rsidRPr="006E28E9">
        <w:rPr>
          <w:rStyle w:val="Char"/>
          <w:rFonts w:ascii="Arabic11 BT" w:hAnsi="Arabic11 BT" w:cs="Arabic11 BT"/>
          <w:vertAlign w:val="superscript"/>
          <w:rtl/>
        </w:rPr>
        <w:footnoteReference w:id="241"/>
      </w:r>
    </w:p>
    <w:p w:rsidR="00DA6CFB" w:rsidRPr="001809AD" w:rsidRDefault="00DA6CFB" w:rsidP="0092648A">
      <w:pPr>
        <w:widowControl w:val="0"/>
        <w:spacing w:line="216" w:lineRule="auto"/>
        <w:ind w:firstLine="284"/>
        <w:jc w:val="both"/>
        <w:rPr>
          <w:rStyle w:val="Char"/>
          <w:spacing w:val="-2"/>
          <w:rtl/>
        </w:rPr>
      </w:pPr>
      <w:r w:rsidRPr="001809AD">
        <w:rPr>
          <w:rStyle w:val="Char"/>
          <w:rFonts w:hint="cs"/>
          <w:spacing w:val="-2"/>
          <w:rtl/>
        </w:rPr>
        <w:t xml:space="preserve">قبل أن يكتب كسروي كتابه </w:t>
      </w:r>
      <w:r w:rsidRPr="001809AD">
        <w:rPr>
          <w:rStyle w:val="Char8"/>
          <w:rFonts w:hint="cs"/>
          <w:spacing w:val="-2"/>
          <w:rtl/>
        </w:rPr>
        <w:t>ش</w:t>
      </w:r>
      <w:r w:rsidR="008C7124">
        <w:rPr>
          <w:rStyle w:val="Char8"/>
          <w:rFonts w:hint="cs"/>
          <w:spacing w:val="-2"/>
          <w:rtl/>
        </w:rPr>
        <w:t>ی</w:t>
      </w:r>
      <w:r w:rsidRPr="001809AD">
        <w:rPr>
          <w:rStyle w:val="Char8"/>
          <w:rFonts w:hint="cs"/>
          <w:spacing w:val="-2"/>
          <w:rtl/>
        </w:rPr>
        <w:t>ع</w:t>
      </w:r>
      <w:r w:rsidR="008C7124">
        <w:rPr>
          <w:rStyle w:val="Char8"/>
          <w:rFonts w:hint="cs"/>
          <w:spacing w:val="-2"/>
          <w:rtl/>
        </w:rPr>
        <w:t>ی</w:t>
      </w:r>
      <w:r w:rsidRPr="001809AD">
        <w:rPr>
          <w:rStyle w:val="Char8"/>
          <w:rFonts w:hint="cs"/>
          <w:spacing w:val="-2"/>
          <w:rtl/>
        </w:rPr>
        <w:t>گر</w:t>
      </w:r>
      <w:r w:rsidR="008C7124">
        <w:rPr>
          <w:rStyle w:val="Char8"/>
          <w:rFonts w:hint="cs"/>
          <w:spacing w:val="-2"/>
          <w:rtl/>
        </w:rPr>
        <w:t>ی</w:t>
      </w:r>
      <w:r w:rsidRPr="001809AD">
        <w:rPr>
          <w:rStyle w:val="Char"/>
          <w:rFonts w:hint="cs"/>
          <w:spacing w:val="-2"/>
          <w:rtl/>
        </w:rPr>
        <w:t xml:space="preserve"> [الشيعة والتشيع]، سعى من خلال تأليفه لكتاب «حول الإسلام» أن يبين أنه لم يبق في زماننا اليوم أي شيء من الإسلام الأصلي، وأن ما لدينا ليس سوى نوع من الثقافة البشرية الغربية التي بسطت منظماتها وآراءها في المجالات المختلفة. أما في كتاب </w:t>
      </w:r>
      <w:r w:rsidRPr="001809AD">
        <w:rPr>
          <w:rStyle w:val="Char8"/>
          <w:rFonts w:hint="cs"/>
          <w:spacing w:val="-2"/>
          <w:rtl/>
        </w:rPr>
        <w:t>ش</w:t>
      </w:r>
      <w:r w:rsidR="008C7124">
        <w:rPr>
          <w:rStyle w:val="Char8"/>
          <w:rFonts w:hint="cs"/>
          <w:spacing w:val="-2"/>
          <w:rtl/>
        </w:rPr>
        <w:t>ی</w:t>
      </w:r>
      <w:r w:rsidRPr="001809AD">
        <w:rPr>
          <w:rStyle w:val="Char8"/>
          <w:rFonts w:hint="cs"/>
          <w:spacing w:val="-2"/>
          <w:rtl/>
        </w:rPr>
        <w:t>ع</w:t>
      </w:r>
      <w:r w:rsidR="008C7124">
        <w:rPr>
          <w:rStyle w:val="Char8"/>
          <w:rFonts w:hint="cs"/>
          <w:spacing w:val="-2"/>
          <w:rtl/>
        </w:rPr>
        <w:t>ی</w:t>
      </w:r>
      <w:r w:rsidRPr="001809AD">
        <w:rPr>
          <w:rStyle w:val="Char8"/>
          <w:rFonts w:hint="cs"/>
          <w:spacing w:val="-2"/>
          <w:rtl/>
        </w:rPr>
        <w:t>گر</w:t>
      </w:r>
      <w:r w:rsidR="008C7124">
        <w:rPr>
          <w:rStyle w:val="Char8"/>
          <w:rFonts w:hint="cs"/>
          <w:spacing w:val="-2"/>
          <w:rtl/>
        </w:rPr>
        <w:t>ی</w:t>
      </w:r>
      <w:r w:rsidRPr="001809AD">
        <w:rPr>
          <w:rStyle w:val="Char"/>
          <w:rFonts w:hint="cs"/>
          <w:spacing w:val="-2"/>
          <w:rtl/>
        </w:rPr>
        <w:t xml:space="preserve"> [الشيعة والتشيع] فقد حمل كسروي حملة شديدة على التشيُّع، مستفيدًا من تجاربه التي اكتسبها خلال سنوات طويلة من محاربة ما سمي بالخرافات، وهاجم، بلغة حادة تطفح بالغضب، عقائد الشيعة ولم يستثن منها شيئًا بل حمل على أسس التشيع كلها بدءًا من أصل الإمامة إلى آداب الشيعة وطقوسهم وانتهاءً بمهاجمة علماء الدين الشيعة. ويظهر غروره في جميع أنحاء هذا الكتاب، هذا رغم أنه كان يتحدَّى في كل موضع فيه الجميع بأن يناقشوه ويحكموا بشأن ما يقوله، ولكن كان من الواضح من لحن كلامه أنه لم يكن يعير أي أهمية لأيِّ إجابةٍ أو رَدٍّ عليه ولا يعتقد إلا بالأفكار التي يؤمن بها.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لم يدَّعِ كسروي النبوَّة بشكل رسمي أبدًا، أي النبوة بالمعنى المعروف لدى أهل الأديان. وأساسًا لم يكن يؤمن بالدين بمعناه التقليدي، ولكنه باعتماده التام على نفسه كان يسعى إلى تصوير النبوة بمعنى صناعة فكر جديد بالحدِّ الذي وصل هو نفسه إليه، وعلى هذا الأساس كان داعيةً -في الواقع- إلى دين جديد. وحسب تعبير الحاج سراج، سعى كسروي إلى تصغير حجم لباس البعثة والنبوة إلى الحدّ الذي يمكنه أن يتطابق مع مقاسه، لكنه رغم كل صغر حجم ذلك اللباس الذي اخترعه كان لا يزال يبدو فضفاضًا وكبيرًا عليه.</w:t>
      </w:r>
      <w:r w:rsidRPr="006E28E9">
        <w:rPr>
          <w:rStyle w:val="Char"/>
          <w:rFonts w:ascii="Arabic11 BT" w:hAnsi="Arabic11 BT" w:cs="Arabic11 BT"/>
          <w:vertAlign w:val="superscript"/>
          <w:rtl/>
        </w:rPr>
        <w:footnoteReference w:id="242"/>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انتشر كتاب </w:t>
      </w:r>
      <w:r w:rsidRPr="0092648A">
        <w:rPr>
          <w:rStyle w:val="Char8"/>
          <w:rFonts w:hint="cs"/>
          <w:rtl/>
        </w:rPr>
        <w:t>ش</w:t>
      </w:r>
      <w:r w:rsidR="008C7124">
        <w:rPr>
          <w:rStyle w:val="Char8"/>
          <w:rFonts w:hint="cs"/>
          <w:rtl/>
        </w:rPr>
        <w:t>ی</w:t>
      </w:r>
      <w:r w:rsidRPr="0092648A">
        <w:rPr>
          <w:rStyle w:val="Char8"/>
          <w:rFonts w:hint="cs"/>
          <w:rtl/>
        </w:rPr>
        <w:t>ع</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
          <w:rFonts w:hint="cs"/>
          <w:rtl/>
        </w:rPr>
        <w:t xml:space="preserve"> [الشيعة والتشيع]بالتزامن مع انتشار كتاب </w:t>
      </w:r>
      <w:r w:rsidRPr="0092648A">
        <w:rPr>
          <w:rStyle w:val="Char8"/>
          <w:rFonts w:hint="cs"/>
          <w:rtl/>
        </w:rPr>
        <w:t>أسرار هزار ساله</w:t>
      </w:r>
      <w:r w:rsidRPr="0092648A">
        <w:rPr>
          <w:rStyle w:val="Char"/>
          <w:rFonts w:hint="cs"/>
          <w:rtl/>
        </w:rPr>
        <w:t xml:space="preserve"> [أسرار ألف عام، تأليف حَكَمي زاده]، وكان موضوع الكتابين واحدًا تقريبًا وفصولهما قريبة من بعضها. إلا أن مواقف كتاب كسروي المخرِّبة والتدميرية كانت أشد بدرجات عديدة مِمَّا جاء في كتاب حَكَمي زاده. نظَّم كسروي كتابه </w:t>
      </w:r>
      <w:r w:rsidRPr="0092648A">
        <w:rPr>
          <w:rStyle w:val="Char8"/>
          <w:rFonts w:hint="cs"/>
          <w:rtl/>
        </w:rPr>
        <w:t>ش</w:t>
      </w:r>
      <w:r w:rsidR="008C7124">
        <w:rPr>
          <w:rStyle w:val="Char8"/>
          <w:rFonts w:hint="cs"/>
          <w:rtl/>
        </w:rPr>
        <w:t>ی</w:t>
      </w:r>
      <w:r w:rsidRPr="0092648A">
        <w:rPr>
          <w:rStyle w:val="Char8"/>
          <w:rFonts w:hint="cs"/>
          <w:rtl/>
        </w:rPr>
        <w:t>ع</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
          <w:rFonts w:hint="cs"/>
          <w:rtl/>
        </w:rPr>
        <w:t xml:space="preserve"> في أربعة فصول: الأول: كيف ظهر التشيع؟ الثاني: الانتقادات التي توجه إلى التشيع. الثالث: الأضرار النابعة من هذا المذهب والنحلة. الرابع: الاستبداد الذي يمارسه ملالي الشيعة وشيوخهم.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خصَّص كسروي الفصل الرابع من كتابه هذا لبيان وجهات نظر الفقهاء حول الحكومة في عصر الغيبة. وسعى في هذا الفصل إلى نقد ادعاء الفقهاء امتلاكهم ولاية على الناس في عصر الغيبة، وبيَّن -حسب ظنه - الآثار الوخيمة والنتائج المضرة لمثل هذه العقيدة في إيجاد الشك والتردد في قلوب الناس. واعتبر، بلغة العصر، أن من أسباب عدم نجاح الثورة الدستورية والأفكار الجديدة، معارضة العلماء لقبول مشروعية الدولة الحديثة؛ ورأى أنه لما كان العلماء يعتبرون الحكومة حكومة جائرة وظالمة فإن الناس كانوا -تبعًا للعلماء- مترددون ومتحيرون بشأن طاعة هذه الحكومة والدولة، ولم يكونوا يستسلمون لقوانينها. وقد أشرنا في موضع آخر أن أسد الله ممقاني أشار إلى هذا الموضوع في كتابه </w:t>
      </w:r>
      <w:r w:rsidRPr="0092648A">
        <w:rPr>
          <w:rStyle w:val="Char8"/>
          <w:rFonts w:hint="cs"/>
          <w:rtl/>
        </w:rPr>
        <w:t>د</w:t>
      </w:r>
      <w:r w:rsidR="008C7124">
        <w:rPr>
          <w:rStyle w:val="Char8"/>
          <w:rFonts w:hint="cs"/>
          <w:rtl/>
        </w:rPr>
        <w:t>ی</w:t>
      </w:r>
      <w:r w:rsidRPr="0092648A">
        <w:rPr>
          <w:rStyle w:val="Char8"/>
          <w:rFonts w:hint="cs"/>
          <w:rtl/>
        </w:rPr>
        <w:t>ن وشؤون</w:t>
      </w:r>
      <w:r w:rsidRPr="0092648A">
        <w:rPr>
          <w:rStyle w:val="Char"/>
          <w:rFonts w:hint="cs"/>
          <w:rtl/>
        </w:rPr>
        <w:t>، كما أن هذا الموضوع كان أساس ما كتبه حكمي زاده في رسالته أي أنها لم تكن هي المرة الأولى التي يُطرَح فيها هذا الموضوع.</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الأمر المهم في كتاب كسروي هذا، من الناحية السياسية، اهتمامه بهذه النقطة وهي أن رأي مرجعية الشيعة القاطِع في ذلك العصر كان الاعتقاد بولاية الفقيه، هذا رغم أن معظم المراجع كانوا يؤكدون أنه لا ينوون تسليم زمام السُّلْطَة والحُكم إلى الفقيه، ولكنهم، في كل الأحوال، لم يكونوا </w:t>
      </w:r>
      <w:r w:rsidRPr="0092648A">
        <w:rPr>
          <w:rStyle w:val="Char"/>
          <w:rFonts w:hint="cs"/>
          <w:rtl/>
        </w:rPr>
        <w:lastRenderedPageBreak/>
        <w:t>مستعدين للعدول عن أصل مشروعية ولاية الفقيه. وأيًّا كان الأمر، كان المراجع يرون أن على الحكومات وعلى الحاكم، أيًّا كان، أن ينال تأييد الفقهاء والمراجع.</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لقد طرح كسروي في كتابه هذا الإشكالات ذاتها التي طرحها فيما سبق الشيخ إبراهيم الزنجاني في عهد الحركة الدستورية بشأن ولاية الفقيه، ولاسيما موضوع تعدد الفقهاء وأنه مَن مِن الفقهاء -في نهاية الأمر - سيكون ولي أمر المسلمين؟! وأنه ما هو الطريق القانوني المتاح لتحقيق هذا الأمر؟ وقد قام شخصان بالرد على اتهامات كسروي بشكل رسمي، الأول: هو الحاج سراج الأنصاري الذي ألف كتاب </w:t>
      </w:r>
      <w:r w:rsidRPr="0092648A">
        <w:rPr>
          <w:rStyle w:val="Char8"/>
          <w:rFonts w:hint="cs"/>
          <w:rtl/>
        </w:rPr>
        <w:t>ش</w:t>
      </w:r>
      <w:r w:rsidR="008C7124">
        <w:rPr>
          <w:rStyle w:val="Char8"/>
          <w:rFonts w:hint="cs"/>
          <w:rtl/>
        </w:rPr>
        <w:t>ی</w:t>
      </w:r>
      <w:r w:rsidRPr="0092648A">
        <w:rPr>
          <w:rStyle w:val="Char8"/>
          <w:rFonts w:hint="cs"/>
          <w:rtl/>
        </w:rPr>
        <w:t>عه چه م</w:t>
      </w:r>
      <w:r w:rsidR="008C7124">
        <w:rPr>
          <w:rStyle w:val="Char8"/>
          <w:rFonts w:hint="cs"/>
          <w:rtl/>
        </w:rPr>
        <w:t>ی</w:t>
      </w:r>
      <w:r w:rsidR="001809AD">
        <w:rPr>
          <w:rStyle w:val="Char8"/>
          <w:rFonts w:hint="cs"/>
          <w:rtl/>
        </w:rPr>
        <w:t>‌</w:t>
      </w:r>
      <w:r w:rsidRPr="0092648A">
        <w:rPr>
          <w:rStyle w:val="Char8"/>
          <w:rFonts w:hint="cs"/>
          <w:rtl/>
        </w:rPr>
        <w:t>گو</w:t>
      </w:r>
      <w:r w:rsidR="008C7124">
        <w:rPr>
          <w:rStyle w:val="Char8"/>
          <w:rFonts w:hint="cs"/>
          <w:rtl/>
        </w:rPr>
        <w:t>ی</w:t>
      </w:r>
      <w:r w:rsidRPr="0092648A">
        <w:rPr>
          <w:rStyle w:val="Char8"/>
          <w:rFonts w:hint="cs"/>
          <w:rtl/>
        </w:rPr>
        <w:t>د؟</w:t>
      </w:r>
      <w:r w:rsidRPr="0092648A">
        <w:rPr>
          <w:rStyle w:val="Char"/>
          <w:rFonts w:hint="cs"/>
          <w:rtl/>
        </w:rPr>
        <w:t xml:space="preserve"> [ماذا يقول الشيعة؟]. رغم النجاح الذي لقيه هذا الكتاب من ناحية استقبال الناس له ودفاعهم عنه وتأييدهم له، إلا أنه مع الأسف تضمن أموراً كلّيةً عامَّةً وكان يفتق إلى بنية [فكرية وعلمية] قوية وأساس مُحْكَم للردّ على اعتراضات كسروي، هذا رغم أنه ردَّ على بعض المسائل الجانبية التي طرحها كسروي. والرد الثاني قام به آية الله السيد نور الدين الشيرازي الذي ألف كتاب </w:t>
      </w:r>
      <w:r w:rsidR="008C7124">
        <w:rPr>
          <w:rStyle w:val="Char8"/>
          <w:rFonts w:hint="cs"/>
          <w:rtl/>
        </w:rPr>
        <w:t>ک</w:t>
      </w:r>
      <w:r w:rsidRPr="0092648A">
        <w:rPr>
          <w:rStyle w:val="Char8"/>
          <w:rFonts w:hint="cs"/>
          <w:rtl/>
        </w:rPr>
        <w:t xml:space="preserve">سْر </w:t>
      </w:r>
      <w:r w:rsidR="008C7124">
        <w:rPr>
          <w:rStyle w:val="Char8"/>
          <w:rFonts w:hint="cs"/>
          <w:rtl/>
        </w:rPr>
        <w:t>ک</w:t>
      </w:r>
      <w:r w:rsidRPr="0092648A">
        <w:rPr>
          <w:rStyle w:val="Char8"/>
          <w:rFonts w:hint="cs"/>
          <w:rtl/>
        </w:rPr>
        <w:t>سرو</w:t>
      </w:r>
      <w:r w:rsidR="008C7124">
        <w:rPr>
          <w:rStyle w:val="Char8"/>
          <w:rFonts w:hint="cs"/>
          <w:rtl/>
        </w:rPr>
        <w:t>ی</w:t>
      </w:r>
      <w:r w:rsidRPr="0092648A">
        <w:rPr>
          <w:rStyle w:val="Char"/>
          <w:rFonts w:hint="cs"/>
          <w:rtl/>
        </w:rPr>
        <w:t>. أُلِّف هذا الكتاب بصورة أسئلة وأجوبة بين كسروي وآية الله الشيرازي، لكنه كان في الأصل ردًّا على دعاوي كسروي في باب السياسة والحكومة.</w:t>
      </w:r>
      <w:r w:rsidRPr="006E28E9">
        <w:rPr>
          <w:rStyle w:val="Char"/>
          <w:rFonts w:ascii="Arabic11 BT" w:hAnsi="Arabic11 BT" w:cs="Arabic11 BT"/>
          <w:vertAlign w:val="superscript"/>
          <w:rtl/>
        </w:rPr>
        <w:footnoteReference w:id="24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في الواقع، كانت نظرة كسروي إلى جميع الأشياء نظرة وضعية بحتة</w:t>
      </w:r>
      <w:r w:rsidRPr="006E28E9">
        <w:rPr>
          <w:rStyle w:val="Char"/>
          <w:rFonts w:ascii="Arabic11 BT" w:hAnsi="Arabic11 BT" w:cs="Arabic11 BT"/>
          <w:vertAlign w:val="superscript"/>
          <w:rtl/>
        </w:rPr>
        <w:footnoteReference w:id="244"/>
      </w:r>
      <w:r w:rsidRPr="0092648A">
        <w:rPr>
          <w:rStyle w:val="Char"/>
          <w:rFonts w:hint="cs"/>
          <w:rtl/>
        </w:rPr>
        <w:t xml:space="preserve"> وعلمية من النوع الذي كان سائداً في القرن التاسع عشر. وعلى الرغم من أنه كان ذا نظرةٍ معادية للغرب، إلا كان، في الدائرة الأوسع، رجلاً عقلانيًّا [أي متبعًا للمذهب العقلي] محضًا. ومن الجهة الأخرى كان يهاجم الدين، من نفس الزاوية والرؤية التي أُطْلَق عليها في العقود الأخيرة اسم النظرة السلفية - الوهابية، فكان ينكر مسألة زيارة القبور وإقامة مجالس العزاء وذكر مصائب آل البيت [في ذكرى وفيات الأئمة] ومراسم عاشوراء [في ذكرى استشهاد الإمام الحسين </w:t>
      </w:r>
      <w:r w:rsidR="00924380" w:rsidRPr="00924380">
        <w:rPr>
          <w:rStyle w:val="Char"/>
          <w:rFonts w:cs="CTraditional Arabic" w:hint="cs"/>
          <w:rtl/>
        </w:rPr>
        <w:t>÷</w:t>
      </w:r>
      <w:r w:rsidRPr="0092648A">
        <w:rPr>
          <w:rStyle w:val="Char"/>
          <w:rFonts w:hint="cs"/>
          <w:rtl/>
        </w:rPr>
        <w:t xml:space="preserve">]، وغير ذلك من الأمور ويسخر منها. وقد أراد في كتابه </w:t>
      </w:r>
      <w:r w:rsidRPr="0092648A">
        <w:rPr>
          <w:rStyle w:val="Char8"/>
          <w:rFonts w:hint="cs"/>
          <w:rtl/>
        </w:rPr>
        <w:t>صوف</w:t>
      </w:r>
      <w:r w:rsidR="008C7124">
        <w:rPr>
          <w:rStyle w:val="Char8"/>
          <w:rFonts w:hint="cs"/>
          <w:rtl/>
        </w:rPr>
        <w:t>ی</w:t>
      </w:r>
      <w:r w:rsidRPr="0092648A">
        <w:rPr>
          <w:rStyle w:val="Char8"/>
          <w:rFonts w:hint="cs"/>
          <w:rtl/>
        </w:rPr>
        <w:t>گر</w:t>
      </w:r>
      <w:r w:rsidR="008C7124">
        <w:rPr>
          <w:rStyle w:val="Char8"/>
          <w:rFonts w:hint="cs"/>
          <w:rtl/>
        </w:rPr>
        <w:t>ی</w:t>
      </w:r>
      <w:r w:rsidRPr="0092648A">
        <w:rPr>
          <w:rStyle w:val="Char"/>
          <w:rFonts w:hint="cs"/>
          <w:rtl/>
        </w:rPr>
        <w:t xml:space="preserve"> [التصوف والصوفية] الذي ترافق مع حملته على الشعراء الفرس من أصحاب المشرب الصوفي العرفاني، أن ينسب انحطاط المجتمع الإيراني إلى أولئك الصوفية.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وفي نهاية المطاف أخذ يشكك - بشكل خفي بالطبع - بشريعة الإسلام ويطرح - كما مر معنا آنفاً </w:t>
      </w:r>
      <w:r w:rsidRPr="0092648A">
        <w:rPr>
          <w:rStyle w:val="Char"/>
          <w:rFonts w:hint="cs"/>
          <w:rtl/>
        </w:rPr>
        <w:lastRenderedPageBreak/>
        <w:t>- الأصول المشتركة لجميع الأديان تحت عنوان «</w:t>
      </w:r>
      <w:r w:rsidRPr="0092648A">
        <w:rPr>
          <w:rStyle w:val="Char8"/>
          <w:rFonts w:hint="cs"/>
          <w:rtl/>
        </w:rPr>
        <w:t>پا</w:t>
      </w:r>
      <w:r w:rsidR="008C7124">
        <w:rPr>
          <w:rStyle w:val="Char8"/>
          <w:rFonts w:hint="cs"/>
          <w:rtl/>
        </w:rPr>
        <w:t>ک</w:t>
      </w:r>
      <w:r w:rsidRPr="0092648A">
        <w:rPr>
          <w:rStyle w:val="Char8"/>
          <w:rFonts w:hint="cs"/>
          <w:rtl/>
        </w:rPr>
        <w:t>د</w:t>
      </w:r>
      <w:r w:rsidR="008C7124">
        <w:rPr>
          <w:rStyle w:val="Char8"/>
          <w:rFonts w:hint="cs"/>
          <w:rtl/>
        </w:rPr>
        <w:t>ی</w:t>
      </w:r>
      <w:r w:rsidRPr="0092648A">
        <w:rPr>
          <w:rStyle w:val="Char8"/>
          <w:rFonts w:hint="cs"/>
          <w:rtl/>
        </w:rPr>
        <w:t>نى</w:t>
      </w:r>
      <w:r w:rsidRPr="0092648A">
        <w:rPr>
          <w:rStyle w:val="Char"/>
          <w:rFonts w:hint="cs"/>
          <w:rtl/>
        </w:rPr>
        <w:t>» أي «الدين الطاهر»، بوصفه يمثل المبادئ التي تستحق اعتناقها والإيمان بها.</w:t>
      </w:r>
      <w:r w:rsidRPr="006E28E9">
        <w:rPr>
          <w:rStyle w:val="Char"/>
          <w:rFonts w:ascii="Arabic11 BT" w:hAnsi="Arabic11 BT" w:cs="Arabic11 BT"/>
          <w:vertAlign w:val="superscript"/>
          <w:rtl/>
        </w:rPr>
        <w:footnoteReference w:id="245"/>
      </w:r>
      <w:r w:rsidRPr="0092648A">
        <w:rPr>
          <w:rStyle w:val="Char"/>
          <w:rFonts w:hint="cs"/>
          <w:rtl/>
        </w:rPr>
        <w:t xml:space="preserve"> كانت هذه هي الصورة الظاهرية للقضية، أما حقيقة الأمر فكان مرام كسروي هو شريعة العقل طبقاً للمنهج الذي كان رائجاً في الغرب، وكان منبع أفكار كسروي هو تلك العقلانية الغربية</w:t>
      </w:r>
      <w:r w:rsidRPr="006E28E9">
        <w:rPr>
          <w:rStyle w:val="Char"/>
          <w:rFonts w:ascii="Arabic11 BT" w:hAnsi="Arabic11 BT" w:cs="Arabic11 BT"/>
          <w:vertAlign w:val="superscript"/>
          <w:rtl/>
        </w:rPr>
        <w:footnoteReference w:id="246"/>
      </w:r>
      <w:r w:rsidRPr="0092648A">
        <w:rPr>
          <w:rStyle w:val="Char"/>
          <w:rFonts w:hint="cs"/>
          <w:rtl/>
        </w:rPr>
        <w:t xml:space="preserve"> أي ذلك التيار المعادي للدين أو على الأقل غير الديني.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كسروي ينشر بحرية تامة مجلته «</w:t>
      </w:r>
      <w:r w:rsidRPr="0092648A">
        <w:rPr>
          <w:rStyle w:val="Char8"/>
          <w:rFonts w:hint="cs"/>
          <w:rtl/>
        </w:rPr>
        <w:t>پ</w:t>
      </w:r>
      <w:r w:rsidR="008C7124">
        <w:rPr>
          <w:rStyle w:val="Char8"/>
          <w:rFonts w:hint="cs"/>
          <w:rtl/>
        </w:rPr>
        <w:t>ی</w:t>
      </w:r>
      <w:r w:rsidRPr="0092648A">
        <w:rPr>
          <w:rStyle w:val="Char8"/>
          <w:rFonts w:hint="cs"/>
          <w:rtl/>
        </w:rPr>
        <w:t>مان</w:t>
      </w:r>
      <w:r w:rsidRPr="0092648A">
        <w:rPr>
          <w:rStyle w:val="Char"/>
          <w:rFonts w:hint="cs"/>
          <w:rtl/>
        </w:rPr>
        <w:t>» منذ سنة 1312 هـ.ش فما بعد (وحتى سنة 1320 هـ.ش)؛ ولم تقم الحكومة الرضاخانية بأي تضييق أو إزعاج له في هذا المجال. بالطبع لم تكن مجلة «</w:t>
      </w:r>
      <w:r w:rsidRPr="0092648A">
        <w:rPr>
          <w:rStyle w:val="Char8"/>
          <w:rFonts w:hint="cs"/>
          <w:rtl/>
        </w:rPr>
        <w:t>پ</w:t>
      </w:r>
      <w:r w:rsidR="008C7124">
        <w:rPr>
          <w:rStyle w:val="Char8"/>
          <w:rFonts w:hint="cs"/>
          <w:rtl/>
        </w:rPr>
        <w:t>ی</w:t>
      </w:r>
      <w:r w:rsidRPr="0092648A">
        <w:rPr>
          <w:rStyle w:val="Char8"/>
          <w:rFonts w:hint="cs"/>
          <w:rtl/>
        </w:rPr>
        <w:t>مان</w:t>
      </w:r>
      <w:r w:rsidRPr="0092648A">
        <w:rPr>
          <w:rStyle w:val="Char"/>
          <w:rFonts w:hint="cs"/>
          <w:rtl/>
        </w:rPr>
        <w:t>» حتى ذلك الوقت ذات طابع معادٍ للدين، ولكنها كانت ذات منهج ونزعة مطالبة بالإصلاح والتصحيح. بعد شهريور 1320 هـ.ش بدأ بطباعة مجلة «</w:t>
      </w:r>
      <w:r w:rsidRPr="0092648A">
        <w:rPr>
          <w:rStyle w:val="Char8"/>
          <w:rFonts w:hint="cs"/>
          <w:rtl/>
        </w:rPr>
        <w:t>پرچم</w:t>
      </w:r>
      <w:r w:rsidRPr="0092648A">
        <w:rPr>
          <w:rStyle w:val="Char"/>
          <w:rFonts w:hint="cs"/>
          <w:rtl/>
        </w:rPr>
        <w:t>» التي كانت تطرح أفكاره بلهجة أكثر صراحة. عندما بلغت الاعتراضات ضد كسروي ذروتها عام 1323 هـ.ش [1944م]، قام الحاكم العسكري لطهران بإيقاف هذه المجلة. بالنسبة إلى كسروي كان كثير من الشعائر والطقوس المذهبية يُعتَبَر في حكم الخرافة، وكان يسعى إلى محاربتها.</w:t>
      </w:r>
      <w:r w:rsidRPr="006E28E9">
        <w:rPr>
          <w:rStyle w:val="Char"/>
          <w:rFonts w:ascii="Arabic11 BT" w:hAnsi="Arabic11 BT" w:cs="Arabic11 BT"/>
          <w:vertAlign w:val="superscript"/>
          <w:rtl/>
        </w:rPr>
        <w:footnoteReference w:id="247"/>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هناك أشخاص آخرون أيضًا ينشطون في العمل ضمن دائرة فِكر كسروي ولكن ضمن </w:t>
      </w:r>
      <w:r w:rsidRPr="0092648A">
        <w:rPr>
          <w:rStyle w:val="Char"/>
          <w:rFonts w:hint="cs"/>
          <w:rtl/>
        </w:rPr>
        <w:lastRenderedPageBreak/>
        <w:t>حدود أضيق بالطبع، وبشكل محدد كانت حدود نشاطهم مقتصرة على إصلاح الدين والمذهب.</w:t>
      </w:r>
      <w:r w:rsidRPr="006E28E9">
        <w:rPr>
          <w:rStyle w:val="Char"/>
          <w:rFonts w:ascii="Arabic11 BT" w:hAnsi="Arabic11 BT" w:cs="Arabic11 BT"/>
          <w:vertAlign w:val="superscript"/>
          <w:rtl/>
        </w:rPr>
        <w:footnoteReference w:id="248"/>
      </w:r>
      <w:r w:rsidRPr="0092648A">
        <w:rPr>
          <w:rStyle w:val="Char"/>
          <w:rFonts w:hint="cs"/>
          <w:rtl/>
        </w:rPr>
        <w:t xml:space="preserve"> حتى حوالي سنة 1330 هـ.ش [1951م]، كانت أغلب مؤلفات كسروي تنتشر في إيران بشكل محدود، لكن منذ بداية الأربعينيات</w:t>
      </w:r>
      <w:r w:rsidRPr="006E28E9">
        <w:rPr>
          <w:rStyle w:val="Char"/>
          <w:rFonts w:ascii="Arabic11 BT" w:hAnsi="Arabic11 BT" w:cs="Arabic11 BT"/>
          <w:vertAlign w:val="superscript"/>
          <w:rtl/>
        </w:rPr>
        <w:footnoteReference w:id="249"/>
      </w:r>
      <w:r w:rsidRPr="0092648A">
        <w:rPr>
          <w:rStyle w:val="Char"/>
          <w:rFonts w:hint="cs"/>
          <w:rtl/>
        </w:rPr>
        <w:t xml:space="preserve"> وبسبب بعض الحساسيات المذهبية والانسجام بين السافاك</w:t>
      </w:r>
      <w:r w:rsidRPr="006E28E9">
        <w:rPr>
          <w:rStyle w:val="Char"/>
          <w:rFonts w:ascii="Arabic11 BT" w:hAnsi="Arabic11 BT" w:cs="Arabic11 BT"/>
          <w:vertAlign w:val="superscript"/>
          <w:rtl/>
        </w:rPr>
        <w:footnoteReference w:id="250"/>
      </w:r>
      <w:r w:rsidRPr="0092648A">
        <w:rPr>
          <w:rStyle w:val="Char"/>
          <w:rFonts w:hint="cs"/>
          <w:rtl/>
        </w:rPr>
        <w:t xml:space="preserve"> وإدارة فحص المطبوعات في وزارة الثقافة والفن، بدأ منع طباعة كتب كسروي. ومن جملة ذلك أن جهاز المخابرات السافاك اعترض بشكل رسمي على طباعة ونشر كتاب «</w:t>
      </w:r>
      <w:r w:rsidRPr="0092648A">
        <w:rPr>
          <w:rStyle w:val="Char8"/>
          <w:rFonts w:hint="cs"/>
          <w:rtl/>
        </w:rPr>
        <w:t>تار</w:t>
      </w:r>
      <w:r w:rsidR="008C7124">
        <w:rPr>
          <w:rStyle w:val="Char8"/>
          <w:rFonts w:hint="cs"/>
          <w:rtl/>
        </w:rPr>
        <w:t>ی</w:t>
      </w:r>
      <w:r w:rsidRPr="0092648A">
        <w:rPr>
          <w:rStyle w:val="Char8"/>
          <w:rFonts w:hint="cs"/>
          <w:rtl/>
        </w:rPr>
        <w:t>خ مشروطه</w:t>
      </w:r>
      <w:r w:rsidRPr="0092648A">
        <w:rPr>
          <w:rStyle w:val="Char"/>
          <w:rFonts w:hint="cs"/>
          <w:rtl/>
        </w:rPr>
        <w:t>» [تاريخ الحكم الدستوري] و«</w:t>
      </w:r>
      <w:r w:rsidRPr="0092648A">
        <w:rPr>
          <w:rStyle w:val="Char8"/>
          <w:rFonts w:hint="cs"/>
          <w:rtl/>
        </w:rPr>
        <w:t>مشروطه بهتر</w:t>
      </w:r>
      <w:r w:rsidR="008C7124">
        <w:rPr>
          <w:rStyle w:val="Char8"/>
          <w:rFonts w:hint="cs"/>
          <w:rtl/>
        </w:rPr>
        <w:t>ی</w:t>
      </w:r>
      <w:r w:rsidRPr="0092648A">
        <w:rPr>
          <w:rStyle w:val="Char8"/>
          <w:rFonts w:hint="cs"/>
          <w:rtl/>
        </w:rPr>
        <w:t>ن ش</w:t>
      </w:r>
      <w:r w:rsidR="008C7124">
        <w:rPr>
          <w:rStyle w:val="Char8"/>
          <w:rFonts w:hint="cs"/>
          <w:rtl/>
        </w:rPr>
        <w:t>ک</w:t>
      </w:r>
      <w:r w:rsidRPr="0092648A">
        <w:rPr>
          <w:rStyle w:val="Char8"/>
          <w:rFonts w:hint="cs"/>
          <w:rtl/>
        </w:rPr>
        <w:t>ل ح</w:t>
      </w:r>
      <w:r w:rsidR="008C7124">
        <w:rPr>
          <w:rStyle w:val="Char8"/>
          <w:rFonts w:hint="cs"/>
          <w:rtl/>
        </w:rPr>
        <w:t>ک</w:t>
      </w:r>
      <w:r w:rsidRPr="0092648A">
        <w:rPr>
          <w:rStyle w:val="Char8"/>
          <w:rFonts w:hint="cs"/>
          <w:rtl/>
        </w:rPr>
        <w:t>ومت</w:t>
      </w:r>
      <w:r w:rsidRPr="0092648A">
        <w:rPr>
          <w:rStyle w:val="Char"/>
          <w:rFonts w:hint="cs"/>
          <w:rtl/>
        </w:rPr>
        <w:t>» [الحكم الدستوري أفضل أشكال الحكم]</w:t>
      </w:r>
      <w:r w:rsidRPr="006E28E9">
        <w:rPr>
          <w:rStyle w:val="Char"/>
          <w:rFonts w:ascii="Arabic11 BT" w:hAnsi="Arabic11 BT" w:cs="Arabic11 BT"/>
          <w:vertAlign w:val="superscript"/>
          <w:rtl/>
        </w:rPr>
        <w:footnoteReference w:id="251"/>
      </w:r>
      <w:r w:rsidRPr="0092648A">
        <w:rPr>
          <w:rStyle w:val="Char"/>
          <w:rFonts w:hint="cs"/>
          <w:rtl/>
        </w:rPr>
        <w:t xml:space="preserve"> وكتاب «</w:t>
      </w:r>
      <w:r w:rsidRPr="0092648A">
        <w:rPr>
          <w:rStyle w:val="Char8"/>
          <w:rFonts w:hint="cs"/>
          <w:rtl/>
        </w:rPr>
        <w:t>ما چه مى</w:t>
      </w:r>
      <w:r w:rsidRPr="00B26CD5">
        <w:rPr>
          <w:rFonts w:cs="Times New Roman" w:hint="eastAsia"/>
          <w:b/>
          <w:bCs/>
          <w:rtl/>
          <w:lang w:bidi="ar-SY"/>
        </w:rPr>
        <w:t>‌</w:t>
      </w:r>
      <w:r w:rsidRPr="0092648A">
        <w:rPr>
          <w:rStyle w:val="Char8"/>
          <w:rFonts w:hint="cs"/>
          <w:rtl/>
        </w:rPr>
        <w:t>خواه</w:t>
      </w:r>
      <w:r w:rsidR="008C7124">
        <w:rPr>
          <w:rStyle w:val="Char8"/>
          <w:rFonts w:hint="cs"/>
          <w:rtl/>
        </w:rPr>
        <w:t>ی</w:t>
      </w:r>
      <w:r w:rsidRPr="0092648A">
        <w:rPr>
          <w:rStyle w:val="Char8"/>
          <w:rFonts w:hint="cs"/>
          <w:rtl/>
        </w:rPr>
        <w:t>م؟</w:t>
      </w:r>
      <w:r w:rsidRPr="0092648A">
        <w:rPr>
          <w:rStyle w:val="Char"/>
          <w:rFonts w:hint="cs"/>
          <w:rtl/>
        </w:rPr>
        <w:t>»[ماذا نريد؟] من مؤلفات كسروي.</w:t>
      </w:r>
      <w:r w:rsidRPr="006E28E9">
        <w:rPr>
          <w:rStyle w:val="Char"/>
          <w:rFonts w:ascii="Arabic11 BT" w:hAnsi="Arabic11 BT" w:cs="Arabic11 BT"/>
          <w:vertAlign w:val="superscript"/>
          <w:rtl/>
        </w:rPr>
        <w:footnoteReference w:id="252"/>
      </w:r>
    </w:p>
    <w:p w:rsidR="00DA6CFB" w:rsidRDefault="00DA6CFB" w:rsidP="0092648A">
      <w:pPr>
        <w:pStyle w:val="2"/>
        <w:rPr>
          <w:rtl/>
        </w:rPr>
      </w:pPr>
      <w:bookmarkStart w:id="27" w:name="_Toc444083814"/>
      <w:r>
        <w:rPr>
          <w:rFonts w:hint="cs"/>
          <w:rtl/>
        </w:rPr>
        <w:t>علي أكبر حَكَمي زاده</w:t>
      </w:r>
      <w:bookmarkEnd w:id="27"/>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علي أكبر حَكَمي زاده من الذين قاموا بشكل تدريجي بطرح بعض الأفكار المشابهة لما طرحه كسروي. وقد تكلمنا عن «حَكَمي زاده» في المباحث السابقة عندما تكلمنا عن كتابه «</w:t>
      </w:r>
      <w:r w:rsidRPr="0092648A">
        <w:rPr>
          <w:rStyle w:val="Char8"/>
          <w:rFonts w:hint="cs"/>
          <w:rtl/>
        </w:rPr>
        <w:t>اسرار هزار ساله</w:t>
      </w:r>
      <w:r w:rsidRPr="0092648A">
        <w:rPr>
          <w:rStyle w:val="Char"/>
          <w:rFonts w:hint="cs"/>
          <w:rtl/>
        </w:rPr>
        <w:t>» [أسرار ألف عام]. ونضيف هنا أنه كان ينشر مجلة «</w:t>
      </w:r>
      <w:r w:rsidRPr="0092648A">
        <w:rPr>
          <w:rStyle w:val="Char8"/>
          <w:rFonts w:hint="cs"/>
          <w:rtl/>
        </w:rPr>
        <w:t>هما</w:t>
      </w:r>
      <w:r w:rsidR="008C7124">
        <w:rPr>
          <w:rStyle w:val="Char8"/>
          <w:rFonts w:hint="cs"/>
          <w:rtl/>
        </w:rPr>
        <w:t>ی</w:t>
      </w:r>
      <w:r w:rsidRPr="0092648A">
        <w:rPr>
          <w:rStyle w:val="Char8"/>
          <w:rFonts w:hint="cs"/>
          <w:rtl/>
        </w:rPr>
        <w:t>ون</w:t>
      </w:r>
      <w:r w:rsidRPr="0092648A">
        <w:rPr>
          <w:rStyle w:val="Char"/>
          <w:rFonts w:hint="cs"/>
          <w:rtl/>
        </w:rPr>
        <w:t>» في قم، منذ سنة 1313 هـ.ش حتى 1314 هـ.ش [1353-1354هـ.ق] (نَشَرَ منها عشرة أعداد فقط).</w:t>
      </w:r>
      <w:r w:rsidRPr="006E28E9">
        <w:rPr>
          <w:rStyle w:val="Char"/>
          <w:rFonts w:ascii="Arabic11 BT" w:hAnsi="Arabic11 BT" w:cs="Arabic11 BT"/>
          <w:vertAlign w:val="superscript"/>
          <w:rtl/>
        </w:rPr>
        <w:footnoteReference w:id="25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وقبل نشر هذه المجلة، قامت مجلة «</w:t>
      </w:r>
      <w:r w:rsidRPr="0092648A">
        <w:rPr>
          <w:rStyle w:val="Char8"/>
          <w:rFonts w:hint="cs"/>
          <w:rtl/>
        </w:rPr>
        <w:t>پ</w:t>
      </w:r>
      <w:r w:rsidR="008C7124">
        <w:rPr>
          <w:rStyle w:val="Char8"/>
          <w:rFonts w:hint="cs"/>
          <w:rtl/>
        </w:rPr>
        <w:t>ی</w:t>
      </w:r>
      <w:r w:rsidRPr="0092648A">
        <w:rPr>
          <w:rStyle w:val="Char8"/>
          <w:rFonts w:hint="cs"/>
          <w:rtl/>
        </w:rPr>
        <w:t>مان</w:t>
      </w:r>
      <w:r w:rsidRPr="0092648A">
        <w:rPr>
          <w:rStyle w:val="Char"/>
          <w:rFonts w:hint="cs"/>
          <w:rtl/>
        </w:rPr>
        <w:t xml:space="preserve">» التي يصدرها كسروي [في طهران] بنشر خبر صدور مجلة </w:t>
      </w:r>
      <w:r w:rsidRPr="0092648A">
        <w:rPr>
          <w:rStyle w:val="Char8"/>
          <w:rFonts w:hint="cs"/>
          <w:rtl/>
        </w:rPr>
        <w:t>«هما</w:t>
      </w:r>
      <w:r w:rsidR="008C7124">
        <w:rPr>
          <w:rStyle w:val="Char8"/>
          <w:rFonts w:hint="cs"/>
          <w:rtl/>
        </w:rPr>
        <w:t>ی</w:t>
      </w:r>
      <w:r w:rsidRPr="0092648A">
        <w:rPr>
          <w:rStyle w:val="Char8"/>
          <w:rFonts w:hint="cs"/>
          <w:rtl/>
        </w:rPr>
        <w:t>ون</w:t>
      </w:r>
      <w:r w:rsidRPr="0092648A">
        <w:rPr>
          <w:rStyle w:val="Char"/>
          <w:rFonts w:hint="cs"/>
          <w:rtl/>
        </w:rPr>
        <w:t>» وبالدعاية لها،</w:t>
      </w:r>
      <w:r w:rsidRPr="006E28E9">
        <w:rPr>
          <w:rStyle w:val="Char"/>
          <w:rFonts w:ascii="Arabic11 BT" w:hAnsi="Arabic11 BT" w:cs="Arabic11 BT"/>
          <w:vertAlign w:val="superscript"/>
          <w:rtl/>
        </w:rPr>
        <w:footnoteReference w:id="254"/>
      </w:r>
      <w:r w:rsidRPr="0092648A">
        <w:rPr>
          <w:rStyle w:val="Char"/>
          <w:rFonts w:hint="cs"/>
          <w:rtl/>
        </w:rPr>
        <w:t xml:space="preserve"> وهذا يدل على الصلة بين الرجلين واتفاقهما في العقيدة والفكر. عندما بدأت مجلة </w:t>
      </w:r>
      <w:r w:rsidRPr="0092648A">
        <w:rPr>
          <w:rStyle w:val="Char8"/>
          <w:rFonts w:hint="cs"/>
          <w:rtl/>
        </w:rPr>
        <w:t>هما</w:t>
      </w:r>
      <w:r w:rsidR="008C7124">
        <w:rPr>
          <w:rStyle w:val="Char8"/>
          <w:rFonts w:hint="cs"/>
          <w:rtl/>
        </w:rPr>
        <w:t>ی</w:t>
      </w:r>
      <w:r w:rsidRPr="0092648A">
        <w:rPr>
          <w:rStyle w:val="Char8"/>
          <w:rFonts w:hint="cs"/>
          <w:rtl/>
        </w:rPr>
        <w:t>ون</w:t>
      </w:r>
      <w:r w:rsidRPr="0092648A">
        <w:rPr>
          <w:rStyle w:val="Char"/>
          <w:rFonts w:hint="cs"/>
          <w:rtl/>
        </w:rPr>
        <w:t xml:space="preserve"> بالانتشار، كان حَكَمي زاده عالمًا دينيًّا مثقّفًا متنوّرًا وعصريًّا وداعيةً للإصلاح والتصحيح، وكانت مقالاته تسعى إلى تحقيق هدف إصلاح الأوضاع الدينية بما يترافق -بالطبع- مع الإصلاحات التي كانت حكومة رضا شاه ترمي إليها على مختلف الأصعدة. على سبيل المثال عندما كان يتم الحديث عن إصلاح الخطب المنبرية وإصلاح مجالس ذكر مراثي الحسين وقراءة مصائب أهل البيت كان حَكَمي زاده يؤكِّد بشدة على أن «الأمر وصل اليوم إلى حد أن وعاظ المنابر وقُرَّاء مراثي الحسين ومصائب أهل البيت يقولون ما يشاؤون من الأكاذيب أمام أعين آلاف المستمعين دون أي خوف أو وجل، ولا يوجد من يعترض على أكاذيبهم بأدنى كلمة»، ويضيف قائلاً: «لا شك أن البكاء [على مصائب الحسين </w:t>
      </w:r>
      <w:r w:rsidR="00924380" w:rsidRPr="00924380">
        <w:rPr>
          <w:rStyle w:val="Char"/>
          <w:rFonts w:cs="CTraditional Arabic" w:hint="cs"/>
          <w:rtl/>
        </w:rPr>
        <w:t>÷</w:t>
      </w:r>
      <w:r w:rsidRPr="0092648A">
        <w:rPr>
          <w:rStyle w:val="Char"/>
          <w:rFonts w:hint="cs"/>
          <w:rtl/>
        </w:rPr>
        <w:t xml:space="preserve"> وسائر الأئمة] جيد لكن لا يجوز أن نضحي بكل شيء في سبيل البكاء»، ثم يوصي قائلاً: «على العلماء في كل مدينة أن يعقدوا اجتماعات أسبوعية أو شهرية يُجمَع فيها خطباء المنابر جميعهم وتُحَدَّد لهم وظائف وقواعد بهدف إصلاح خطبهم المنبرية وتنظيمها». وكان يرى أن هذه الإصلاحات جميعها تتناسب مع قانون «توحيد المظهر» الذي كانت الدولة قد سنته. وكتب حول هذا الموضوع يقول: «لقد راعت الدولة في قانون توحيد المظهر إصلاح المنبر إلى حدٍّ ما، وقالت: إنه يجب على المتحدّثين أن تكون لديهم القدرة على التمييز بين الأحاديث الصحيحة والسقيمة. لقد سمح بعض قصيري النظر من جديد -باسم خدمة الدين وخدمة سيد الشهداء- لكل سافل تافه... هذا في حين أنه لو سمحوا لهذا القانون بالتطبيق العملي لتم أولاً إصلاح جزء كبير من مفاسد المنبر، وثانياً: لاهتم أهل المنبر لهذا السبب بصحة الأحاديث التي يذكرونها، وثالثاً: لَعُرِف أهل الفضل والكمال»</w:t>
      </w:r>
      <w:r w:rsidRPr="006E28E9">
        <w:rPr>
          <w:rStyle w:val="Char"/>
          <w:rFonts w:ascii="Arabic11 BT" w:hAnsi="Arabic11 BT" w:cs="Arabic11 BT"/>
          <w:vertAlign w:val="superscript"/>
          <w:rtl/>
        </w:rPr>
        <w:footnoteReference w:id="255"/>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لكن إصلاحه قاده شيئاً فشيئاً نحو فقدان العقيدة إلى درجة خروجه عن المذهب بالتزامن مع خروج كسروي. ألف حَكَمي زاده كتابه </w:t>
      </w:r>
      <w:r w:rsidRPr="0092648A">
        <w:rPr>
          <w:rStyle w:val="Char8"/>
          <w:rFonts w:hint="cs"/>
          <w:rtl/>
        </w:rPr>
        <w:t>اسرار هزار ساله</w:t>
      </w:r>
      <w:r w:rsidRPr="0092648A">
        <w:rPr>
          <w:rStyle w:val="Char"/>
          <w:rFonts w:hint="cs"/>
          <w:rtl/>
        </w:rPr>
        <w:t xml:space="preserve"> [أسرار ألف عام] الذي يعكس هذه المرحلة من حياته في شهري شهريور ومهر من عام 1322هـ.ش [1362 هـ.ق/ 1943م] ونشره </w:t>
      </w:r>
      <w:r w:rsidRPr="0092648A">
        <w:rPr>
          <w:rStyle w:val="Char"/>
          <w:rFonts w:hint="cs"/>
          <w:rtl/>
        </w:rPr>
        <w:lastRenderedPageBreak/>
        <w:t xml:space="preserve">مع العدد 12 من مجلة </w:t>
      </w:r>
      <w:r w:rsidRPr="0092648A">
        <w:rPr>
          <w:rStyle w:val="Char8"/>
          <w:rFonts w:hint="cs"/>
          <w:rtl/>
        </w:rPr>
        <w:t>پرچم</w:t>
      </w:r>
      <w:r w:rsidRPr="0092648A">
        <w:rPr>
          <w:rStyle w:val="Char"/>
          <w:rFonts w:hint="cs"/>
          <w:rtl/>
        </w:rPr>
        <w:t xml:space="preserve"> التي يصدرها كسروي، في 15 من شهر مهر من السنة المذكورة.</w:t>
      </w:r>
      <w:r w:rsidRPr="006E28E9">
        <w:rPr>
          <w:rStyle w:val="Char"/>
          <w:rFonts w:ascii="Arabic11 BT" w:hAnsi="Arabic11 BT" w:cs="Arabic11 BT"/>
          <w:vertAlign w:val="superscript"/>
          <w:rtl/>
        </w:rPr>
        <w:footnoteReference w:id="256"/>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أبحاث مقدمة الكتاب أشرنا إلى بعض الردود التي كُتِبَت ضد كسروي وحَكَمي زاده. وينبغي هنا أن نشير إلى كتاب «</w:t>
      </w:r>
      <w:r w:rsidRPr="0092648A">
        <w:rPr>
          <w:rStyle w:val="Char8"/>
          <w:rFonts w:hint="cs"/>
          <w:rtl/>
        </w:rPr>
        <w:t>آ</w:t>
      </w:r>
      <w:r w:rsidR="008C7124">
        <w:rPr>
          <w:rStyle w:val="Char8"/>
          <w:rFonts w:hint="cs"/>
          <w:rtl/>
        </w:rPr>
        <w:t>یی</w:t>
      </w:r>
      <w:r w:rsidRPr="0092648A">
        <w:rPr>
          <w:rStyle w:val="Char8"/>
          <w:rFonts w:hint="cs"/>
          <w:rtl/>
        </w:rPr>
        <w:t>ن جعفرى</w:t>
      </w:r>
      <w:r w:rsidRPr="0092648A">
        <w:rPr>
          <w:rStyle w:val="Char"/>
          <w:rFonts w:hint="cs"/>
          <w:rtl/>
        </w:rPr>
        <w:t xml:space="preserve">» [أي: </w:t>
      </w:r>
      <w:r w:rsidRPr="008C7124">
        <w:rPr>
          <w:rStyle w:val="Char7"/>
          <w:rFonts w:hint="cs"/>
          <w:rtl/>
        </w:rPr>
        <w:t>الشريعة الجعفرية</w:t>
      </w:r>
      <w:r w:rsidRPr="0092648A">
        <w:rPr>
          <w:rStyle w:val="Char"/>
          <w:rFonts w:hint="cs"/>
          <w:rtl/>
        </w:rPr>
        <w:t>]، الذي ألفه هادي نوري، وطُبِع سنة 1324 هـ.ش [1945م] في مطبعة مجلس طهران. تضمن هذا الكتاب نوعاً من الانتقاد لفكرة الخلافة في عقيدة أهل السنة، لكنه أشار في مباحثه الأولى وفي آخر الكتاب أيضًا إلى نفوذ الأفكار الوهابية في إيران، وكتب، دون أن يشير إلى شخص محدد، تحت عنوان «ظهور كلام الوهابيين في إيران» يقول: «انتقلت هذه النظرية السياسية شيئاً فشيئاً بسبب دسائس عملاء أعداء الإسلام من بلاد نجد والحجاز ودخلت إلى إيران، واعتقد حفنة من قليلي العقل أن هذه الأقوال نشأت وانتشرت حديثاً، لكنهم غفلوا عن أن هذه العقائد هي عقائد الوهابيين ذاتها التي اخترعها منذ سنوات مديدة المُخَطِّطُون الماكرون وأتوا بها من صحراء نجد إلى هذه الديار أي بلاد إيران، لإيجاد الاختلاف وتخريب أذهان العقلاء تحت اسم إزالة الخرافات».</w:t>
      </w:r>
      <w:r w:rsidRPr="006E28E9">
        <w:rPr>
          <w:rStyle w:val="Char"/>
          <w:rFonts w:ascii="Arabic11 BT" w:hAnsi="Arabic11 BT" w:cs="Arabic11 BT"/>
          <w:vertAlign w:val="superscript"/>
          <w:rtl/>
        </w:rPr>
        <w:footnoteReference w:id="257"/>
      </w:r>
      <w:r w:rsidRPr="0092648A">
        <w:rPr>
          <w:rStyle w:val="Char"/>
          <w:rFonts w:hint="cs"/>
          <w:rtl/>
        </w:rPr>
        <w:t xml:space="preserve"> وقد قام مؤلف الكتاب في الفصول السابقة بالرد على إشكالات الوهابيين حول زيارة القبور والمزارات كما تحدّث في جزء من كتابه عن مقتل أبي طالب اليزدي في السعودية.</w:t>
      </w:r>
    </w:p>
    <w:p w:rsidR="00DA6CFB" w:rsidRDefault="00DA6CFB" w:rsidP="0092648A">
      <w:pPr>
        <w:pStyle w:val="2"/>
        <w:rPr>
          <w:rtl/>
        </w:rPr>
      </w:pPr>
      <w:bookmarkStart w:id="28" w:name="_Toc444083815"/>
      <w:r>
        <w:rPr>
          <w:rFonts w:hint="cs"/>
          <w:rtl/>
        </w:rPr>
        <w:t>4. السيد علي أكبر برقعي</w:t>
      </w:r>
      <w:bookmarkEnd w:id="28"/>
    </w:p>
    <w:p w:rsidR="00DA6CFB" w:rsidRDefault="00DA6CFB" w:rsidP="0092648A">
      <w:pPr>
        <w:widowControl w:val="0"/>
        <w:spacing w:line="216" w:lineRule="auto"/>
        <w:ind w:firstLine="284"/>
        <w:jc w:val="both"/>
        <w:rPr>
          <w:rStyle w:val="Char"/>
          <w:rtl/>
        </w:rPr>
      </w:pPr>
      <w:r w:rsidRPr="0092648A">
        <w:rPr>
          <w:rStyle w:val="Char"/>
          <w:rFonts w:hint="cs"/>
          <w:rtl/>
        </w:rPr>
        <w:t xml:space="preserve">السيد علي أكبر برقعي من الكُتَّاب الدينيين الذين كانت لهم مقالات في مجلة </w:t>
      </w:r>
      <w:r w:rsidRPr="0092648A">
        <w:rPr>
          <w:rStyle w:val="Char8"/>
          <w:rFonts w:hint="cs"/>
          <w:rtl/>
        </w:rPr>
        <w:t>هما</w:t>
      </w:r>
      <w:r w:rsidR="008C7124">
        <w:rPr>
          <w:rStyle w:val="Char8"/>
          <w:rFonts w:hint="cs"/>
          <w:rtl/>
        </w:rPr>
        <w:t>ی</w:t>
      </w:r>
      <w:r w:rsidRPr="0092648A">
        <w:rPr>
          <w:rStyle w:val="Char8"/>
          <w:rFonts w:hint="cs"/>
          <w:rtl/>
        </w:rPr>
        <w:t>ون</w:t>
      </w:r>
      <w:r w:rsidRPr="0092648A">
        <w:rPr>
          <w:rStyle w:val="Char"/>
          <w:rFonts w:hint="cs"/>
          <w:rtl/>
        </w:rPr>
        <w:t>. كان السيد علي أكبر برقعي قد دخل إلى ساحة الكتابة بشكل جدي قبل تاريخ 20 شهريور وبعده، وكتب عدداً من المؤلفات في الموضوعات الدينية المختلفة ومنها كتابه «</w:t>
      </w:r>
      <w:r w:rsidRPr="0092648A">
        <w:rPr>
          <w:rStyle w:val="Char8"/>
          <w:rFonts w:hint="cs"/>
          <w:rtl/>
        </w:rPr>
        <w:t>راهنماى د</w:t>
      </w:r>
      <w:r w:rsidR="008C7124">
        <w:rPr>
          <w:rStyle w:val="Char8"/>
          <w:rFonts w:hint="cs"/>
          <w:rtl/>
        </w:rPr>
        <w:t>ی</w:t>
      </w:r>
      <w:r w:rsidRPr="0092648A">
        <w:rPr>
          <w:rStyle w:val="Char8"/>
          <w:rFonts w:hint="cs"/>
          <w:rtl/>
        </w:rPr>
        <w:t>نداران</w:t>
      </w:r>
      <w:r w:rsidRPr="0092648A">
        <w:rPr>
          <w:rStyle w:val="Char"/>
          <w:rFonts w:hint="cs"/>
          <w:rtl/>
        </w:rPr>
        <w:t>» [مرشد المتدينين] الذي طُبِع سنة 1324 هـ.ش [1945م]. كان هذا الكتاب مراجعة للتعاليم الدينية قُدِّمَت للجيل الجديد. ومن مؤلفاته أيضًا كتابه «</w:t>
      </w:r>
      <w:r w:rsidRPr="0092648A">
        <w:rPr>
          <w:rStyle w:val="Char8"/>
          <w:rFonts w:hint="cs"/>
          <w:rtl/>
        </w:rPr>
        <w:t>راهنماى دانشوران</w:t>
      </w:r>
      <w:r w:rsidRPr="0092648A">
        <w:rPr>
          <w:rStyle w:val="Char"/>
          <w:rFonts w:hint="cs"/>
          <w:rtl/>
        </w:rPr>
        <w:t>» [مرشد العلماء] أيضًا الذي يقع في عدة مجلدات والتي أرخ فيها لحوادث عصره ورجالاته، وهو كتاب يقدم فائدة للناطقين بالفارسية من ناحية ضبط الأسماء والأماكن.</w:t>
      </w:r>
    </w:p>
    <w:p w:rsidR="001809AD" w:rsidRPr="0092648A" w:rsidRDefault="001809AD" w:rsidP="0092648A">
      <w:pPr>
        <w:widowControl w:val="0"/>
        <w:spacing w:line="216" w:lineRule="auto"/>
        <w:ind w:firstLine="284"/>
        <w:jc w:val="both"/>
        <w:rPr>
          <w:rStyle w:val="Char"/>
          <w:rtl/>
        </w:rPr>
      </w:pP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حظي برقعي بشعبية ومحبوبية لدى جمعية «أنصار السلام» المرتبطة بحزب توده بسبب ميوله التجددية التي أعرب عنها، وقد سافر سنة 1331 هـ.ش [1952م] مبعوثًا مِنْ قِبَلِ تلك الجمعية لحضور مؤتمر السلام في فيينا. وعندما عاد إلى إيران واجه معارضة العلماء وطلاب العلوم الدينية في قم؛ على نحو أدى إلى وقوع اشتباك بين أنصاره ومعارضيه. وعند ذلك أمر آية الله البروجردي، الشيخَ فضل الله المحلاتي بمتابعة القضية وقال بعد ذلك لحل هذا النزاع: «إن أردتم وجهة نظري في هذا الموضوع فاذهبوا إلى الحاج السيد روح الله الخميني ممثلي الرسمي في هذا الأمر».</w:t>
      </w:r>
      <w:r w:rsidRPr="006E28E9">
        <w:rPr>
          <w:rStyle w:val="Char"/>
          <w:rFonts w:ascii="Arabic11 BT" w:hAnsi="Arabic11 BT" w:cs="Arabic11 BT"/>
          <w:vertAlign w:val="superscript"/>
          <w:rtl/>
        </w:rPr>
        <w:footnoteReference w:id="258"/>
      </w:r>
      <w:r w:rsidRPr="0092648A">
        <w:rPr>
          <w:rStyle w:val="Char"/>
          <w:rFonts w:hint="cs"/>
          <w:rtl/>
        </w:rPr>
        <w:t xml:space="preserve"> بعد تلك الحادثة تم نفي برقعي إلى مدينة يزد بعد التشاور مع الإمام والتعاون في ذلك مع الدكتور مصدق</w:t>
      </w:r>
      <w:r w:rsidRPr="006E28E9">
        <w:rPr>
          <w:rStyle w:val="Char"/>
          <w:rFonts w:ascii="Arabic11 BT" w:hAnsi="Arabic11 BT" w:cs="Arabic11 BT"/>
          <w:vertAlign w:val="superscript"/>
          <w:rtl/>
        </w:rPr>
        <w:footnoteReference w:id="259"/>
      </w:r>
      <w:r w:rsidRPr="0092648A">
        <w:rPr>
          <w:rStyle w:val="Char"/>
          <w:rFonts w:hint="cs"/>
          <w:rtl/>
        </w:rPr>
        <w:t xml:space="preserve"> الذي كان حينها رئيساً للوزراء.</w:t>
      </w:r>
      <w:r w:rsidRPr="006E28E9">
        <w:rPr>
          <w:rStyle w:val="Char"/>
          <w:rFonts w:ascii="Arabic11 BT" w:hAnsi="Arabic11 BT" w:cs="Arabic11 BT"/>
          <w:vertAlign w:val="superscript"/>
          <w:rtl/>
        </w:rPr>
        <w:footnoteReference w:id="260"/>
      </w:r>
      <w:r w:rsidRPr="0092648A">
        <w:rPr>
          <w:rStyle w:val="Char"/>
          <w:rFonts w:hint="cs"/>
          <w:rtl/>
        </w:rPr>
        <w:t xml:space="preserve"> </w:t>
      </w:r>
      <w:r w:rsidRPr="0092648A">
        <w:rPr>
          <w:rStyle w:val="Char"/>
          <w:rtl/>
        </w:rPr>
        <w:t>في ذلك الزمن ذاته</w:t>
      </w:r>
      <w:r w:rsidRPr="0092648A">
        <w:rPr>
          <w:rStyle w:val="Char"/>
          <w:rFonts w:hint="cs"/>
          <w:rtl/>
        </w:rPr>
        <w:t xml:space="preserve"> ذهب محمد باقر كمره</w:t>
      </w:r>
      <w:r w:rsidRPr="0092648A">
        <w:rPr>
          <w:rStyle w:val="Char"/>
          <w:rFonts w:ascii="Times New Roman" w:hAnsi="Times New Roman" w:cs="Times New Roman" w:hint="cs"/>
          <w:rtl/>
        </w:rPr>
        <w:t>‌</w:t>
      </w:r>
      <w:r w:rsidRPr="0092648A">
        <w:rPr>
          <w:rStyle w:val="Char"/>
          <w:rFonts w:hint="cs"/>
          <w:rtl/>
        </w:rPr>
        <w:t xml:space="preserve">اى إلى مؤتمر فيينا لكن هذا لم يثر ضدَّه أي رد فعل في طهران.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كتب برقعي عدداً من الكتب الدينية العامة منها «</w:t>
      </w:r>
      <w:r w:rsidRPr="0092648A">
        <w:rPr>
          <w:rStyle w:val="Char8"/>
          <w:rFonts w:hint="cs"/>
          <w:rtl/>
        </w:rPr>
        <w:t>جلوه حق در س</w:t>
      </w:r>
      <w:r w:rsidR="008C7124">
        <w:rPr>
          <w:rStyle w:val="Char8"/>
          <w:rFonts w:hint="cs"/>
          <w:rtl/>
        </w:rPr>
        <w:t>ی</w:t>
      </w:r>
      <w:r w:rsidRPr="0092648A">
        <w:rPr>
          <w:rStyle w:val="Char8"/>
          <w:rFonts w:hint="cs"/>
          <w:rtl/>
        </w:rPr>
        <w:t xml:space="preserve">ره امام على </w:t>
      </w:r>
      <w:r w:rsidR="00924380" w:rsidRPr="001809AD">
        <w:rPr>
          <w:rStyle w:val="Char8"/>
          <w:rFonts w:cs="CTraditional Arabic" w:hint="cs"/>
          <w:b w:val="0"/>
          <w:bCs w:val="0"/>
          <w:sz w:val="28"/>
          <w:szCs w:val="28"/>
          <w:rtl/>
        </w:rPr>
        <w:t>÷</w:t>
      </w:r>
      <w:r w:rsidRPr="0092648A">
        <w:rPr>
          <w:rStyle w:val="Char"/>
          <w:rFonts w:hint="cs"/>
          <w:rtl/>
        </w:rPr>
        <w:t xml:space="preserve">» [تجلي الحق في سيرة الإمام </w:t>
      </w:r>
      <w:r w:rsidR="00924380" w:rsidRPr="00924380">
        <w:rPr>
          <w:rStyle w:val="Char"/>
          <w:rFonts w:cs="CTraditional Arabic" w:hint="cs"/>
          <w:rtl/>
        </w:rPr>
        <w:t>÷</w:t>
      </w:r>
      <w:r w:rsidRPr="0092648A">
        <w:rPr>
          <w:rStyle w:val="Char"/>
          <w:rFonts w:hint="cs"/>
          <w:rtl/>
        </w:rPr>
        <w:t xml:space="preserve">] الذي صدرت طبعته الثانية عام 1319 هـ.ش [1940م]. كما طُبِع كتابه </w:t>
      </w:r>
      <w:r w:rsidRPr="0092648A">
        <w:rPr>
          <w:rStyle w:val="Char"/>
          <w:rFonts w:hint="cs"/>
          <w:rtl/>
        </w:rPr>
        <w:lastRenderedPageBreak/>
        <w:t>«</w:t>
      </w:r>
      <w:r w:rsidRPr="0092648A">
        <w:rPr>
          <w:rStyle w:val="Char8"/>
          <w:rFonts w:hint="cs"/>
          <w:rtl/>
        </w:rPr>
        <w:t>مهرتابان</w:t>
      </w:r>
      <w:r w:rsidRPr="0092648A">
        <w:rPr>
          <w:rStyle w:val="Char"/>
          <w:rFonts w:hint="cs"/>
          <w:rtl/>
        </w:rPr>
        <w:t xml:space="preserve">» سنة 1317 هـ.ش [1938م]، والذي تحدث فيه أيضًا عن سيرة إمام المتقين وسيد الموحدين علي بن أبي طالب </w:t>
      </w:r>
      <w:r w:rsidR="00924380" w:rsidRPr="00924380">
        <w:rPr>
          <w:rStyle w:val="Char"/>
          <w:rFonts w:cs="CTraditional Arabic" w:hint="cs"/>
          <w:rtl/>
        </w:rPr>
        <w:t>÷</w:t>
      </w:r>
      <w:r w:rsidRPr="0092648A">
        <w:rPr>
          <w:rStyle w:val="Char"/>
          <w:rFonts w:hint="cs"/>
          <w:rtl/>
        </w:rPr>
        <w:t>، في أكثر من 260 صفحة. ومن كتبه الأخرى «</w:t>
      </w:r>
      <w:r w:rsidRPr="0092648A">
        <w:rPr>
          <w:rStyle w:val="Char8"/>
          <w:rFonts w:hint="cs"/>
          <w:rtl/>
        </w:rPr>
        <w:t xml:space="preserve">بامداد روشن در اسرار واگذارى خلافت حضرت امام حسن </w:t>
      </w:r>
      <w:r w:rsidR="00924380" w:rsidRPr="001809AD">
        <w:rPr>
          <w:rStyle w:val="Char8"/>
          <w:rFonts w:cs="CTraditional Arabic" w:hint="cs"/>
          <w:b w:val="0"/>
          <w:bCs w:val="0"/>
          <w:sz w:val="28"/>
          <w:szCs w:val="28"/>
          <w:rtl/>
        </w:rPr>
        <w:t>÷</w:t>
      </w:r>
      <w:r w:rsidRPr="001809AD">
        <w:rPr>
          <w:rStyle w:val="Char8"/>
          <w:rFonts w:hint="cs"/>
          <w:sz w:val="28"/>
          <w:szCs w:val="28"/>
          <w:rtl/>
        </w:rPr>
        <w:t xml:space="preserve"> </w:t>
      </w:r>
      <w:r w:rsidRPr="0092648A">
        <w:rPr>
          <w:rStyle w:val="Char8"/>
          <w:rFonts w:hint="cs"/>
          <w:rtl/>
        </w:rPr>
        <w:t>به معاو</w:t>
      </w:r>
      <w:r w:rsidR="008C7124">
        <w:rPr>
          <w:rStyle w:val="Char8"/>
          <w:rFonts w:hint="cs"/>
          <w:rtl/>
        </w:rPr>
        <w:t>ی</w:t>
      </w:r>
      <w:r w:rsidRPr="0092648A">
        <w:rPr>
          <w:rStyle w:val="Char8"/>
          <w:rFonts w:hint="cs"/>
          <w:rtl/>
        </w:rPr>
        <w:t>ه</w:t>
      </w:r>
      <w:r w:rsidRPr="0092648A">
        <w:rPr>
          <w:rStyle w:val="Char"/>
          <w:rFonts w:hint="cs"/>
          <w:rtl/>
        </w:rPr>
        <w:t xml:space="preserve">» [الفجر الساطع في أسرار تسليم الإمام الحسن </w:t>
      </w:r>
      <w:r w:rsidR="00924380" w:rsidRPr="00924380">
        <w:rPr>
          <w:rStyle w:val="Char"/>
          <w:rFonts w:cs="CTraditional Arabic" w:hint="cs"/>
          <w:rtl/>
        </w:rPr>
        <w:t>÷</w:t>
      </w:r>
      <w:r w:rsidRPr="0092648A">
        <w:rPr>
          <w:rStyle w:val="Char"/>
          <w:rFonts w:hint="cs"/>
          <w:rtl/>
        </w:rPr>
        <w:t xml:space="preserve"> الخلافةَ إلى معاوية] ولم يُشَر فيه إلى تاريخ طباعته. وطُبِع كتابه «</w:t>
      </w:r>
      <w:r w:rsidR="008C7124">
        <w:rPr>
          <w:rStyle w:val="Char8"/>
          <w:rFonts w:hint="cs"/>
          <w:rtl/>
        </w:rPr>
        <w:t>ک</w:t>
      </w:r>
      <w:r w:rsidRPr="0092648A">
        <w:rPr>
          <w:rStyle w:val="Char8"/>
          <w:rFonts w:hint="cs"/>
          <w:rtl/>
        </w:rPr>
        <w:t>اخ دلاو</w:t>
      </w:r>
      <w:r w:rsidR="008C7124">
        <w:rPr>
          <w:rStyle w:val="Char8"/>
          <w:rFonts w:hint="cs"/>
          <w:rtl/>
        </w:rPr>
        <w:t>ی</w:t>
      </w:r>
      <w:r w:rsidRPr="0092648A">
        <w:rPr>
          <w:rStyle w:val="Char8"/>
          <w:rFonts w:hint="cs"/>
          <w:rtl/>
        </w:rPr>
        <w:t>ز در تار</w:t>
      </w:r>
      <w:r w:rsidR="008C7124">
        <w:rPr>
          <w:rStyle w:val="Char8"/>
          <w:rFonts w:hint="cs"/>
          <w:rtl/>
        </w:rPr>
        <w:t>ی</w:t>
      </w:r>
      <w:r w:rsidRPr="0092648A">
        <w:rPr>
          <w:rStyle w:val="Char8"/>
          <w:rFonts w:hint="cs"/>
          <w:rtl/>
        </w:rPr>
        <w:t>خ زندگى شر</w:t>
      </w:r>
      <w:r w:rsidR="008C7124">
        <w:rPr>
          <w:rStyle w:val="Char8"/>
          <w:rFonts w:hint="cs"/>
          <w:rtl/>
        </w:rPr>
        <w:t>ی</w:t>
      </w:r>
      <w:r w:rsidRPr="0092648A">
        <w:rPr>
          <w:rStyle w:val="Char8"/>
          <w:rFonts w:hint="cs"/>
          <w:rtl/>
        </w:rPr>
        <w:t>ف رض</w:t>
      </w:r>
      <w:r w:rsidR="008C7124">
        <w:rPr>
          <w:rStyle w:val="Char8"/>
          <w:rFonts w:hint="cs"/>
          <w:rtl/>
        </w:rPr>
        <w:t>ی</w:t>
      </w:r>
      <w:r w:rsidRPr="0092648A">
        <w:rPr>
          <w:rStyle w:val="Char"/>
          <w:rFonts w:hint="cs"/>
          <w:rtl/>
        </w:rPr>
        <w:t>» [أي القصر الباهر في تاريخ حياة الشريف الرضي] سنة 1318 هـ.ش، كما نُشِر كتابه «</w:t>
      </w:r>
      <w:r w:rsidR="008C7124">
        <w:rPr>
          <w:rStyle w:val="Char8"/>
          <w:rFonts w:hint="cs"/>
          <w:rtl/>
        </w:rPr>
        <w:t>ک</w:t>
      </w:r>
      <w:r w:rsidRPr="0092648A">
        <w:rPr>
          <w:rStyle w:val="Char8"/>
          <w:rFonts w:hint="cs"/>
          <w:rtl/>
        </w:rPr>
        <w:t xml:space="preserve">انون احساسات </w:t>
      </w:r>
      <w:r w:rsidR="008C7124">
        <w:rPr>
          <w:rStyle w:val="Char8"/>
          <w:rFonts w:hint="cs"/>
          <w:rtl/>
        </w:rPr>
        <w:t>ی</w:t>
      </w:r>
      <w:r w:rsidRPr="0092648A">
        <w:rPr>
          <w:rStyle w:val="Char8"/>
          <w:rFonts w:hint="cs"/>
          <w:rtl/>
        </w:rPr>
        <w:t>ا فدا</w:t>
      </w:r>
      <w:r w:rsidR="008C7124">
        <w:rPr>
          <w:rStyle w:val="Char8"/>
          <w:rFonts w:hint="cs"/>
          <w:rtl/>
        </w:rPr>
        <w:t>ک</w:t>
      </w:r>
      <w:r w:rsidRPr="0092648A">
        <w:rPr>
          <w:rStyle w:val="Char8"/>
          <w:rFonts w:hint="cs"/>
          <w:rtl/>
        </w:rPr>
        <w:t>ارى شگفت‌انگ</w:t>
      </w:r>
      <w:r w:rsidR="008C7124">
        <w:rPr>
          <w:rStyle w:val="Char8"/>
          <w:rFonts w:hint="cs"/>
          <w:rtl/>
        </w:rPr>
        <w:t>ی</w:t>
      </w:r>
      <w:r w:rsidRPr="0092648A">
        <w:rPr>
          <w:rStyle w:val="Char8"/>
          <w:rFonts w:hint="cs"/>
          <w:rtl/>
        </w:rPr>
        <w:t xml:space="preserve">ز </w:t>
      </w:r>
      <w:r w:rsidR="008C7124">
        <w:rPr>
          <w:rStyle w:val="Char8"/>
          <w:rFonts w:hint="cs"/>
          <w:rtl/>
        </w:rPr>
        <w:t>ی</w:t>
      </w:r>
      <w:r w:rsidRPr="0092648A">
        <w:rPr>
          <w:rStyle w:val="Char8"/>
          <w:rFonts w:hint="cs"/>
          <w:rtl/>
        </w:rPr>
        <w:t>گانه مجاهد اسلام حضرت امام حس</w:t>
      </w:r>
      <w:r w:rsidR="008C7124">
        <w:rPr>
          <w:rStyle w:val="Char8"/>
          <w:rFonts w:hint="cs"/>
          <w:rtl/>
        </w:rPr>
        <w:t>ی</w:t>
      </w:r>
      <w:r w:rsidRPr="0092648A">
        <w:rPr>
          <w:rStyle w:val="Char8"/>
          <w:rFonts w:hint="cs"/>
          <w:rtl/>
        </w:rPr>
        <w:t xml:space="preserve">ن </w:t>
      </w:r>
      <w:r w:rsidR="00924380" w:rsidRPr="00924380">
        <w:rPr>
          <w:rStyle w:val="Char8"/>
          <w:rFonts w:cs="CTraditional Arabic" w:hint="cs"/>
          <w:rtl/>
        </w:rPr>
        <w:t>÷</w:t>
      </w:r>
      <w:r w:rsidRPr="0092648A">
        <w:rPr>
          <w:rStyle w:val="Char"/>
          <w:rFonts w:hint="cs"/>
          <w:rtl/>
        </w:rPr>
        <w:t xml:space="preserve">» [مركز العواطف أو التضحيات المدهشة لمجاهد الإسلام الأوحد حضرة الإمام الحسين </w:t>
      </w:r>
      <w:r w:rsidR="00924380" w:rsidRPr="00924380">
        <w:rPr>
          <w:rStyle w:val="Char"/>
          <w:rFonts w:cs="CTraditional Arabic" w:hint="cs"/>
          <w:rtl/>
        </w:rPr>
        <w:t>÷</w:t>
      </w:r>
      <w:r w:rsidRPr="0092648A">
        <w:rPr>
          <w:rStyle w:val="Char"/>
          <w:rFonts w:hint="cs"/>
          <w:rtl/>
        </w:rPr>
        <w:t xml:space="preserve">] الذي ينبغي أن يكون قد نُشِر قبل شهر شهريور من عام 1320 هـ.ش [1941م]. وقد سعى في هذا الكتاب الأخير إلى شرح ثورة الإمام الحسين </w:t>
      </w:r>
      <w:r w:rsidR="00924380" w:rsidRPr="00924380">
        <w:rPr>
          <w:rStyle w:val="Char"/>
          <w:rFonts w:cs="CTraditional Arabic" w:hint="cs"/>
          <w:rtl/>
        </w:rPr>
        <w:t>÷</w:t>
      </w:r>
      <w:r w:rsidRPr="0092648A">
        <w:rPr>
          <w:rStyle w:val="Char"/>
          <w:rFonts w:hint="cs"/>
          <w:rtl/>
        </w:rPr>
        <w:t xml:space="preserve"> وَذِكْر إيضاحات حول ماهية تلك الثورة التي كان يرى - حسب رأيه - أن نظرة الناس إليها نظرة سطحية.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على ضوء ما ذُكِر ينبغي أن نعتبر علي أكبر برقعي مؤرّخاً ومترجماً للشخصيات أكثر منه أي شيء آخر، وأنه كان يسعى إلى إعادة كتابة تاريخ الإسلام بصورة حديثة. في الواقع لقد كان حلقة من حلقات علم التاريخ الإسلامي في الحوزة العلمية في قم، مع ميوله ونزعته الخاصة في هذا المجال بالطبع. وقد طُبِعَت الطبعة الثالثة لكتابه الأخير في طهران سنة 1347 هـ.ش [1968م]. كانت أغلب كتبه التي ذُكِرَت أعلاه، لاسيما تلك التي طُبِعَت قبل سنة 1320 هـ.ش [1941م] تُباع في مكتبة ومطبعة نوين في قم التي يملكها هو نفسه. كما أن له رسالة بعنوان «لب اللباب در اثبات وجوب حجاب» في إثبات وجوب الحجاب والرد على كشفه.</w:t>
      </w:r>
    </w:p>
    <w:p w:rsidR="00DA6CFB" w:rsidRDefault="00DA6CFB" w:rsidP="0092648A">
      <w:pPr>
        <w:pStyle w:val="2"/>
        <w:rPr>
          <w:rtl/>
        </w:rPr>
      </w:pPr>
      <w:bookmarkStart w:id="29" w:name="_Toc444083816"/>
      <w:r>
        <w:rPr>
          <w:rFonts w:hint="cs"/>
          <w:rtl/>
        </w:rPr>
        <w:t>5. الشيخ محمد خالصي زاده</w:t>
      </w:r>
      <w:bookmarkEnd w:id="29"/>
    </w:p>
    <w:p w:rsidR="00DA6CFB" w:rsidRPr="0092648A" w:rsidRDefault="00DA6CFB" w:rsidP="0092648A">
      <w:pPr>
        <w:widowControl w:val="0"/>
        <w:spacing w:line="216" w:lineRule="auto"/>
        <w:ind w:firstLine="284"/>
        <w:jc w:val="both"/>
        <w:rPr>
          <w:rStyle w:val="Char"/>
          <w:rtl/>
        </w:rPr>
      </w:pPr>
      <w:r w:rsidRPr="0092648A">
        <w:rPr>
          <w:rStyle w:val="Char"/>
          <w:rFonts w:hint="cs"/>
          <w:rtl/>
        </w:rPr>
        <w:t>تزعَّم الشيخ محمد خالصي زاده جزءًا من تيار الإصلاح الديني بعد عهد رضا خان، وهو إصلاح تم في أغلبه داخل دائرة علماء الدين الشيعة، هذا على الرغم من قلم الشيخ الخالصي الحادّ واللاذع.</w:t>
      </w:r>
      <w:r w:rsidRPr="006E28E9">
        <w:rPr>
          <w:rStyle w:val="Char"/>
          <w:rFonts w:ascii="Arabic11 BT" w:hAnsi="Arabic11 BT" w:cs="Arabic11 BT"/>
          <w:vertAlign w:val="superscript"/>
          <w:rtl/>
        </w:rPr>
        <w:footnoteReference w:id="261"/>
      </w:r>
      <w:r w:rsidRPr="0092648A">
        <w:rPr>
          <w:rStyle w:val="Char"/>
          <w:rFonts w:hint="cs"/>
          <w:rtl/>
        </w:rPr>
        <w:t xml:space="preserve"> كان للشيخ خالصي زاده سوابق نضالية ضد رضا شاه كما واصل حضوره في الساحة السياسية بعد انتهاء حكم رضا شاه، وكان قبل ذلك يُعَدُّ صاحب هدف ومدرسة خاصَّة في الثقافة الدينية. لقد </w:t>
      </w:r>
      <w:r w:rsidRPr="0092648A">
        <w:rPr>
          <w:rStyle w:val="Char"/>
          <w:rFonts w:hint="cs"/>
          <w:rtl/>
        </w:rPr>
        <w:lastRenderedPageBreak/>
        <w:t xml:space="preserve">تكلمنا في أوائل هذا الكتاب عن مساعيه ومجاهداته في عهد رضا شاه إلى أن نفي المَلِك من إيران سنة 1329 هـ.ش [1950م]، ونتابع هنا كلامنا عنه استناداً إلى آرائه ومؤلفاته. لقد ذكرنا آنفاً أن الشيخ خالصي زاده نُفِي سنوات مديدة إلى مدينة تويسكران ثم كاشان ثم يزد، وأنه ترك مؤلفات في كل مدينة من تلك المدن. أما الذي كان يميزه عن الآخرين فلم يكن حركته ونضاله الاجتماعي والتربوي فحسب بل بعض وجهات نظره الخاصة التي كانت تختلف عن النظرة التقليدية لدى عامة علماء الشيعة، شأنها في ذلك شأن كثير من أطروحات الإصلاحيين الدينيين الآخرين الذين كان يطالبون بالإصلاح والتصحيح الديني في تلك الفترة في مجتمع الشيعة. وفي الوقت ذاته، كانت جهوده لأجل تسييس الدين وإدخال الدين في الحياة الاجتماعية، واهتمامه بالفقه ليكون دستوراً للحياة السياسية والاجتماعية والاقتصادية من جملة الجهود الرسمية التي كان لها معارضوها الخاصّون أيضًا على مدى سنوات طويلة، أو على الأقل لم تكن مفهومة أساساً لدى الكثيرين. </w:t>
      </w:r>
    </w:p>
    <w:p w:rsidR="00DA6CFB" w:rsidRPr="0092648A" w:rsidRDefault="00DA6CFB" w:rsidP="0092648A">
      <w:pPr>
        <w:widowControl w:val="0"/>
        <w:spacing w:line="216" w:lineRule="auto"/>
        <w:ind w:firstLine="284"/>
        <w:jc w:val="both"/>
        <w:rPr>
          <w:rStyle w:val="Char"/>
          <w:rtl/>
        </w:rPr>
      </w:pPr>
      <w:r w:rsidRPr="0092648A">
        <w:rPr>
          <w:rStyle w:val="Char"/>
          <w:rFonts w:hint="cs"/>
          <w:rtl/>
        </w:rPr>
        <w:t>مثلاً كان خالصي زاه - شأنه في ذلك شأن سائر الإصلاحيين الدينيين في تلك الفترة - يعتبر صلاة الجمعة واجبة وجوباً عينياً [في كل عصر]، وذلك بهدف تسييس الدين بشكل أكثر ولأجل إيجاد التوافق بين الشيعة وسائر المسلمين، وقد كتب في هذا الصدد كتاباً عنوانه «</w:t>
      </w:r>
      <w:r w:rsidRPr="008C7124">
        <w:rPr>
          <w:rStyle w:val="Char7"/>
          <w:rFonts w:hint="cs"/>
          <w:rtl/>
        </w:rPr>
        <w:t>الجمعة</w:t>
      </w:r>
      <w:r w:rsidRPr="0092648A">
        <w:rPr>
          <w:rStyle w:val="Char"/>
          <w:rFonts w:hint="cs"/>
          <w:rtl/>
        </w:rPr>
        <w:t>» (نُشِرَ عام 1369 هـ.ق)، وقام حيدر علي قلمداران بترجمة الكتاب - كما ترجم كثيرًا من كتب الشيخ الخالصي الأخرى - إلى اللغة الفارسية ووضع له عنوان «</w:t>
      </w:r>
      <w:r w:rsidRPr="0092648A">
        <w:rPr>
          <w:rStyle w:val="Char8"/>
          <w:rFonts w:hint="cs"/>
          <w:rtl/>
        </w:rPr>
        <w:t>ارمغان اله</w:t>
      </w:r>
      <w:r w:rsidR="008C7124">
        <w:rPr>
          <w:rStyle w:val="Char8"/>
          <w:rFonts w:hint="cs"/>
          <w:rtl/>
        </w:rPr>
        <w:t>ی</w:t>
      </w:r>
      <w:r w:rsidRPr="0092648A">
        <w:rPr>
          <w:rStyle w:val="Char"/>
          <w:rFonts w:hint="cs"/>
          <w:rtl/>
        </w:rPr>
        <w:t xml:space="preserve">» [أي الهدية الإلهية]. وترجم قلمداران إلى الفارسية كتاباً آخر للشيخ خالصي زاده حول الإمام الحسين </w:t>
      </w:r>
      <w:r w:rsidR="00924380" w:rsidRPr="00924380">
        <w:rPr>
          <w:rStyle w:val="Char"/>
          <w:rFonts w:cs="CTraditional Arabic" w:hint="cs"/>
          <w:rtl/>
        </w:rPr>
        <w:t>÷</w:t>
      </w:r>
      <w:r w:rsidRPr="0092648A">
        <w:rPr>
          <w:rStyle w:val="Char"/>
          <w:rFonts w:hint="cs"/>
          <w:rtl/>
        </w:rPr>
        <w:t xml:space="preserve"> ووضع له عنوان «</w:t>
      </w:r>
      <w:r w:rsidRPr="0092648A">
        <w:rPr>
          <w:rStyle w:val="Char8"/>
          <w:rFonts w:hint="cs"/>
          <w:rtl/>
        </w:rPr>
        <w:t>فلسفه ق</w:t>
      </w:r>
      <w:r w:rsidR="008C7124">
        <w:rPr>
          <w:rStyle w:val="Char8"/>
          <w:rFonts w:hint="cs"/>
          <w:rtl/>
        </w:rPr>
        <w:t>ی</w:t>
      </w:r>
      <w:r w:rsidRPr="0092648A">
        <w:rPr>
          <w:rStyle w:val="Char8"/>
          <w:rFonts w:hint="cs"/>
          <w:rtl/>
        </w:rPr>
        <w:t>ام مقدس حس</w:t>
      </w:r>
      <w:r w:rsidR="008C7124">
        <w:rPr>
          <w:rStyle w:val="Char8"/>
          <w:rFonts w:hint="cs"/>
          <w:rtl/>
        </w:rPr>
        <w:t>ی</w:t>
      </w:r>
      <w:r w:rsidRPr="0092648A">
        <w:rPr>
          <w:rStyle w:val="Char8"/>
          <w:rFonts w:hint="cs"/>
          <w:rtl/>
        </w:rPr>
        <w:t>ن</w:t>
      </w:r>
      <w:r w:rsidR="008C7124">
        <w:rPr>
          <w:rStyle w:val="Char8"/>
          <w:rFonts w:hint="cs"/>
          <w:rtl/>
        </w:rPr>
        <w:t>ی</w:t>
      </w:r>
      <w:r w:rsidRPr="0092648A">
        <w:rPr>
          <w:rStyle w:val="Char"/>
          <w:rFonts w:hint="cs"/>
          <w:rtl/>
        </w:rPr>
        <w:t>» [أي فلسفة الثورة الحسينية المقدسة].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كما قام قلمداران بنشر كتاب «</w:t>
      </w:r>
      <w:r w:rsidRPr="008C7124">
        <w:rPr>
          <w:rStyle w:val="Char7"/>
          <w:rFonts w:hint="cs"/>
          <w:rtl/>
        </w:rPr>
        <w:t>إحياء الشريعة في مذهب الشيعة</w:t>
      </w:r>
      <w:r w:rsidRPr="0092648A">
        <w:rPr>
          <w:rStyle w:val="Char"/>
          <w:rFonts w:hint="cs"/>
          <w:rtl/>
        </w:rPr>
        <w:t>» الذي يُعتبر نوعاً من السعي لشرح الفقه الإسلامي على أساس بيان غايات أحكام الفقه وأهدافها - وهو ما اشتهر في الفكر الديني الجديد باسم «مقاصد الشريعة» - أو بغاية إيجاد الانسجام والتناسب بين الفقه والعصر الحديث، وذلك تحت عنوان «</w:t>
      </w:r>
      <w:r w:rsidRPr="0092648A">
        <w:rPr>
          <w:rStyle w:val="Char8"/>
          <w:rFonts w:hint="cs"/>
          <w:rtl/>
        </w:rPr>
        <w:t>آ</w:t>
      </w:r>
      <w:r w:rsidR="008C7124">
        <w:rPr>
          <w:rStyle w:val="Char8"/>
          <w:rFonts w:hint="cs"/>
          <w:rtl/>
        </w:rPr>
        <w:t>یی</w:t>
      </w:r>
      <w:r w:rsidRPr="0092648A">
        <w:rPr>
          <w:rStyle w:val="Char8"/>
          <w:rFonts w:hint="cs"/>
          <w:rtl/>
        </w:rPr>
        <w:t>ن جاو</w:t>
      </w:r>
      <w:r w:rsidR="008C7124">
        <w:rPr>
          <w:rStyle w:val="Char8"/>
          <w:rFonts w:hint="cs"/>
          <w:rtl/>
        </w:rPr>
        <w:t>ی</w:t>
      </w:r>
      <w:r w:rsidRPr="0092648A">
        <w:rPr>
          <w:rStyle w:val="Char8"/>
          <w:rFonts w:hint="cs"/>
          <w:rtl/>
        </w:rPr>
        <w:t>دان</w:t>
      </w:r>
      <w:r w:rsidRPr="0092648A">
        <w:rPr>
          <w:rStyle w:val="Char"/>
          <w:rFonts w:hint="cs"/>
          <w:rtl/>
        </w:rPr>
        <w:t xml:space="preserve">»، وطبعه في ثلاثة مجلدات في السنوات 1330 و1336 و1337 هـ.ش [1951، 1957 و1958م]. لقد أُغرم قلمداران بالشيخ الخالصي وأُعْجِبَ بأفكاره أشد الإعجاب، وأشار في مقدمة هذه الترجمة إلى أن الرسائل العملية الماضية لا تقدم الفائدة المطلوبة لجيل الشباب بل تؤدي إلى فرارهم من الدين لذا قام الشيخ الخالصي، بناءً على مُطَالبات متكررة من قلمداران ومن غيره من المحبين، بكتابة كتاب حول الشريعة، وقبل أن يُطْبَع جزؤه الأول قام </w:t>
      </w:r>
      <w:r w:rsidRPr="0092648A">
        <w:rPr>
          <w:rStyle w:val="Char"/>
          <w:rFonts w:hint="cs"/>
          <w:rtl/>
        </w:rPr>
        <w:lastRenderedPageBreak/>
        <w:t>قلمداران بترجمته إلى الفارسية. وعندما عاد الشيخ الخالصي إلى العراق أكمل كتابة الكتاب وقام قلمداران بنشره سنة 1330 هـ.ش [1951م] كما أسلفنا. اعتبر قلمداران في مقدمته على هذا الكتاب أن أحد ميزاته وخصائصه اهتمامه بموضوع سياسات الإسلام وأحكام الاقتصاد الإسلامي، التي لو طُبِّقَت «لوصلت، ليس ملة الإسلام فقط، بل العالم كله إلى طريق سعادة الدارين وفلاح النشأتين». واعتبر قلمداران أن من خصائص الكتاب وميزاته الأخرى أنه «يوضح حقانية المذهب الجعفري ويظهرها كظهور الشمس في رابعة النهار».</w:t>
      </w:r>
      <w:r w:rsidRPr="006E28E9">
        <w:rPr>
          <w:rStyle w:val="Char"/>
          <w:rFonts w:ascii="Arabic11 BT" w:hAnsi="Arabic11 BT" w:cs="Arabic11 BT"/>
          <w:vertAlign w:val="superscript"/>
          <w:rtl/>
        </w:rPr>
        <w:footnoteReference w:id="262"/>
      </w:r>
      <w:r w:rsidRPr="0092648A">
        <w:rPr>
          <w:rStyle w:val="Char"/>
          <w:rFonts w:hint="cs"/>
          <w:rtl/>
        </w:rPr>
        <w:t xml:space="preserve"> كان منهج تلك الرسالة الفقهية المفصَّلة مختلفاً مع منهج سائر الرسائل العملية كلَّها، فمع محافظتها على الترتيب العام للأبحاث الفقهية، تم الاهتمام فيما بين ذلك بكثير من المسائل الأخرى. فمثلً في بحث فروض الكفاية ذكر الشيخ الخالصي من جملتها «إنفاق المال لدراسة جميع العلوم والفنون والصناعات ولأجل بناء المدارس العلمية والصناعية وبناء المساجد على النحو الذي وضعت الشريعة أسُسَه، وبذل المال لبناء المستشفيات وكل ما يحتاجه المسلمون في معيشتهم وما يمكنِّهم من الدفاع عن بلاد المسلمين».</w:t>
      </w:r>
      <w:r w:rsidRPr="006E28E9">
        <w:rPr>
          <w:rStyle w:val="Char"/>
          <w:rFonts w:ascii="Arabic11 BT" w:hAnsi="Arabic11 BT" w:cs="Arabic11 BT"/>
          <w:vertAlign w:val="superscript"/>
          <w:rtl/>
        </w:rPr>
        <w:footnoteReference w:id="263"/>
      </w:r>
      <w:r w:rsidRPr="0092648A">
        <w:rPr>
          <w:rStyle w:val="Char"/>
          <w:rFonts w:hint="cs"/>
          <w:rtl/>
        </w:rPr>
        <w:t xml:space="preserve"> ومن الجهة الأخرى فقد مزج الكتاب فقهَ الأخلاق بالفقه الرسمي التقليدي وبيَّن في الكتاب كثيرًا من الأحكام الأخلاقية. فمثلاً عندما تحدث في باب المطهرات ذكر مطهرات الإنسان من الذنوب وعقد فصلاً تحت عنوان: «في أمراض القلب وأوساخه وأقذاره وطريقة تطهير القلب».</w:t>
      </w:r>
      <w:r w:rsidRPr="006E28E9">
        <w:rPr>
          <w:rStyle w:val="Char"/>
          <w:rFonts w:ascii="Arabic11 BT" w:hAnsi="Arabic11 BT" w:cs="Arabic11 BT"/>
          <w:vertAlign w:val="superscript"/>
          <w:rtl/>
        </w:rPr>
        <w:footnoteReference w:id="264"/>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الآراء والأفكار المعادية للغلو واسعة لدى الخالصي وكان يعتبر بصراحة أن من يقول جملاً مثل «أجرك على محمد» أو «يا علي، يا فاطمة الزهراء» أو يقول: «ليرزقك الإمام الحسين» ويقصد معانيها الحقيقية الظاهرة يكون كافراً ضالاً تنطبق عليه جميع أحكام الكفر. أما لو قصد من ذلك أن يعطيكَ الله ببركة محمد أو ببركة الإمام الحسين فلا إشكال في ذلك وعقيدة القائل صحيحة. وقال الخالصي: إن هناك في زماننا دعاء متداول بين العوام يستند إلى رؤيا رآها الكفعمي ونقلها في كتابه البلد الأمين، وجاء في ذلك الدعاء: (</w:t>
      </w:r>
      <w:r w:rsidRPr="0092648A">
        <w:rPr>
          <w:rStyle w:val="Char"/>
          <w:rtl/>
        </w:rPr>
        <w:t>يا مُحَمَّدُ يا عَليُّ</w:t>
      </w:r>
      <w:r w:rsidRPr="0092648A">
        <w:rPr>
          <w:rStyle w:val="Char"/>
          <w:rFonts w:hint="cs"/>
          <w:rtl/>
        </w:rPr>
        <w:t>!</w:t>
      </w:r>
      <w:r w:rsidRPr="0092648A">
        <w:rPr>
          <w:rStyle w:val="Char"/>
          <w:rtl/>
        </w:rPr>
        <w:t xml:space="preserve"> يا عَلِيُّ يا مُحَمَّدُ</w:t>
      </w:r>
      <w:r w:rsidRPr="0092648A">
        <w:rPr>
          <w:rStyle w:val="Char"/>
          <w:rFonts w:hint="cs"/>
          <w:rtl/>
        </w:rPr>
        <w:t>!</w:t>
      </w:r>
      <w:r w:rsidRPr="0092648A">
        <w:rPr>
          <w:rStyle w:val="Char"/>
          <w:rtl/>
        </w:rPr>
        <w:t xml:space="preserve"> اكْفِياني فَ</w:t>
      </w:r>
      <w:r w:rsidRPr="0092648A">
        <w:rPr>
          <w:rStyle w:val="Char"/>
          <w:rFonts w:hint="cs"/>
          <w:rtl/>
        </w:rPr>
        <w:t>إ</w:t>
      </w:r>
      <w:r w:rsidRPr="0092648A">
        <w:rPr>
          <w:rStyle w:val="Char"/>
          <w:rtl/>
        </w:rPr>
        <w:t>ِنَّكُما كافِيايَ</w:t>
      </w:r>
      <w:r w:rsidRPr="0092648A">
        <w:rPr>
          <w:rStyle w:val="Char"/>
          <w:rFonts w:hint="cs"/>
          <w:rtl/>
        </w:rPr>
        <w:t>....الخ)، وظاهر هذه الكلمات كفر ونقض لنصوص القرآن الكريم.</w:t>
      </w:r>
      <w:r w:rsidRPr="006E28E9">
        <w:rPr>
          <w:rStyle w:val="Char"/>
          <w:rFonts w:ascii="Arabic11 BT" w:hAnsi="Arabic11 BT" w:cs="Arabic11 BT"/>
          <w:vertAlign w:val="superscript"/>
          <w:rtl/>
        </w:rPr>
        <w:footnoteReference w:id="265"/>
      </w:r>
      <w:r w:rsidRPr="0092648A">
        <w:rPr>
          <w:rStyle w:val="Char"/>
          <w:rFonts w:hint="cs"/>
          <w:rtl/>
        </w:rPr>
        <w:t xml:space="preserve"> ويعتقد الخالصي أن ذلك الحُلُم الذي </w:t>
      </w:r>
      <w:r w:rsidRPr="0092648A">
        <w:rPr>
          <w:rStyle w:val="Char"/>
          <w:rFonts w:hint="cs"/>
          <w:rtl/>
        </w:rPr>
        <w:lastRenderedPageBreak/>
        <w:t>حلم به الكفعمي ونقله في كتابه لا يمكنه أن يقاوم العقائد الحقة ونصوص القرآن الكريم. ثم هاجم الخالصي الوهابيين لأنهم «يدعون جميع المسلمين إلى التوحيد [من جديد] ولأن هذه الدعوة قد غلبت عليهم إلى درجة جعلتهم يغفلون عن النصوص القرآنية وينسبون المسلمين كلهم إلى الكفر [والشرك]» وقد ذكر في كتابه بعض الإيضاحات في هذا الباب</w:t>
      </w:r>
      <w:r w:rsidRPr="006E28E9">
        <w:rPr>
          <w:rStyle w:val="Char"/>
          <w:rFonts w:ascii="Arabic11 BT" w:hAnsi="Arabic11 BT" w:cs="Arabic11 BT"/>
          <w:vertAlign w:val="superscript"/>
          <w:rtl/>
        </w:rPr>
        <w:footnoteReference w:id="266"/>
      </w:r>
      <w:r w:rsidRPr="0092648A">
        <w:rPr>
          <w:rStyle w:val="Char"/>
          <w:rFonts w:hint="cs"/>
          <w:rtl/>
        </w:rPr>
        <w:t xml:space="preserve"> . وبعد رده على عقائد الوهابيين انصرف إلى إثبات شفاعة النبي والأئمة وقال: «حاصل ما في كتاب الله العزيز أن الشفاعة لا تكون إلا بإذن الله، وقد أعطى الله الإذن بالشفاعة للنبي والملائكة».</w:t>
      </w:r>
      <w:r w:rsidRPr="006E28E9">
        <w:rPr>
          <w:rStyle w:val="Char"/>
          <w:rFonts w:ascii="Arabic11 BT" w:hAnsi="Arabic11 BT" w:cs="Arabic11 BT"/>
          <w:vertAlign w:val="superscript"/>
          <w:rtl/>
        </w:rPr>
        <w:footnoteReference w:id="267"/>
      </w:r>
    </w:p>
    <w:p w:rsidR="00DA6CFB" w:rsidRPr="0092648A" w:rsidRDefault="00DA6CFB" w:rsidP="0092648A">
      <w:pPr>
        <w:widowControl w:val="0"/>
        <w:spacing w:line="216" w:lineRule="auto"/>
        <w:ind w:firstLine="284"/>
        <w:jc w:val="both"/>
        <w:rPr>
          <w:rStyle w:val="Char"/>
          <w:rtl/>
        </w:rPr>
      </w:pPr>
      <w:r w:rsidRPr="0092648A">
        <w:rPr>
          <w:rStyle w:val="Char"/>
          <w:rFonts w:hint="cs"/>
          <w:rtl/>
        </w:rPr>
        <w:t>وطرح الشيخ الخالصي أيضًا موضوع الاختلاف بشأن ذكر الشهادة الثالثة [في الأذان] وقد أدى إنكاره لذكرها في الأذان [وإسقاطه إياها من الأذان في مسجد الكاظمين] إلى ثورة كثير من علماء النجف ضده حتى كُتِبَت اثنا عشر رسالة في الرد عليه، نُشر أغلبها سنة 1955م</w:t>
      </w:r>
      <w:r w:rsidRPr="006E28E9">
        <w:rPr>
          <w:rStyle w:val="Char"/>
          <w:rFonts w:ascii="Arabic11 BT" w:hAnsi="Arabic11 BT" w:cs="Arabic11 BT"/>
          <w:vertAlign w:val="superscript"/>
          <w:rtl/>
        </w:rPr>
        <w:footnoteReference w:id="268"/>
      </w:r>
      <w:r w:rsidRPr="0092648A">
        <w:rPr>
          <w:rStyle w:val="Char"/>
          <w:rFonts w:hint="cs"/>
          <w:rtl/>
        </w:rPr>
        <w:t>. بعد أن ذكر الشريف الرازي بياناً لحال والده أو ترجمةً لوالده، اعتبر ابنه - أي الشيخ خالصي زاده- عاقًّا لأبيه وللأئمة، وقال: إنه نَاظَره في كاشان قال له بصراحة: إنك شخص وهابي المسلك؛ وقال أن الخالصي لم ينفِ ذلك عن نفسه واكتفى بالقول: أنا أؤمن بالشفاعة لكنني أعتبر هذه التوسلات شِرْكاً. قال الرازي: فقلت له: أنت وهابي معتزلي، ولست لا شيعيًّا كما هم الشيعة، ولا سنيًّا كما هم السنَّة.</w:t>
      </w:r>
      <w:r w:rsidRPr="006E28E9">
        <w:rPr>
          <w:rStyle w:val="Char"/>
          <w:rFonts w:ascii="Arabic11 BT" w:hAnsi="Arabic11 BT" w:cs="Arabic11 BT"/>
          <w:vertAlign w:val="superscript"/>
          <w:rtl/>
        </w:rPr>
        <w:footnoteReference w:id="269"/>
      </w:r>
      <w:r w:rsidRPr="0092648A">
        <w:rPr>
          <w:rStyle w:val="Char"/>
          <w:rFonts w:hint="cs"/>
          <w:rtl/>
        </w:rPr>
        <w:t xml:space="preserve"> </w:t>
      </w:r>
    </w:p>
    <w:p w:rsidR="00DA6CFB" w:rsidRPr="001809AD" w:rsidRDefault="00DA6CFB" w:rsidP="0092648A">
      <w:pPr>
        <w:widowControl w:val="0"/>
        <w:spacing w:line="216" w:lineRule="auto"/>
        <w:ind w:firstLine="284"/>
        <w:jc w:val="both"/>
        <w:rPr>
          <w:rStyle w:val="Char"/>
          <w:spacing w:val="-4"/>
          <w:rtl/>
        </w:rPr>
      </w:pPr>
      <w:r w:rsidRPr="001809AD">
        <w:rPr>
          <w:rStyle w:val="Char"/>
          <w:rFonts w:hint="cs"/>
          <w:spacing w:val="-4"/>
          <w:rtl/>
        </w:rPr>
        <w:t>كان الخالصي يقوم في تلك الفترة بكتابة تفسير للقرآن أيضًا، وقامت دار «كانون الإسلام» سنة 1323 هـ.ش [1944م] بطباعة جزء منه تحت عنوان «المعارف المحمدية هدى وشفاء أو تفسير القرآن باللغة الفارسية» (وفي الواقع طبعت مقدمته تحت عنوان «مقدمه در حجيت قرآن» أي مقدمة في حجية القرآن). بَحَثَ هذا الكتاب موضوعَ المحكم والمتشابه، وهو الموضوع ذاته الذي كان يطرحه كثير من الأفراد ذوي التفكير المتجانِس مع فِكر الخالصي ومع نَهْج تيار الإصلاح الديني في ذلك العصر. ولا بدَّ أن يكون الكتاب المشار إليه مُلاحِظًا لكتابات شريعت سنگلجي وأفكار مدرسته القرآنية.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كان الخالصي ذا تأثير عجيب على مريديه الخاصِّين، وكان يسعى في تربية مريديه سعيًا بالغًا. وقد استطاع أن يربي تلاميذَ وأتباعًا كُثُر عندما كان منفيًّا في كاشان. ومن جملة ذلك أنه اشترى يومًا قطعةً كاملةً من القماش الأبيض وصنع منها عمائم لعدد من طلاب العلوم الدينية ممن كانت أعمارهم بين 14 - 15 عاماً، و وضع تلك العمائم على رؤوسهم، وكان يأخذ أولئك الطلاب معه إلى كل مجلس ودرس من مجالسه ودروسه.</w:t>
      </w:r>
      <w:r w:rsidRPr="006E28E9">
        <w:rPr>
          <w:rStyle w:val="Char"/>
          <w:rFonts w:ascii="Arabic11 BT" w:hAnsi="Arabic11 BT" w:cs="Arabic11 BT"/>
          <w:vertAlign w:val="superscript"/>
          <w:rtl/>
        </w:rPr>
        <w:footnoteReference w:id="270"/>
      </w:r>
      <w:r w:rsidRPr="0092648A">
        <w:rPr>
          <w:rStyle w:val="Char"/>
          <w:rFonts w:hint="cs"/>
          <w:rtl/>
        </w:rPr>
        <w:t xml:space="preserve"> </w:t>
      </w:r>
      <w:r w:rsidRPr="0092648A">
        <w:rPr>
          <w:rStyle w:val="Char"/>
          <w:rtl/>
        </w:rPr>
        <w:t>وقد أثمر</w:t>
      </w:r>
      <w:r w:rsidRPr="0092648A">
        <w:rPr>
          <w:rStyle w:val="Char"/>
          <w:rFonts w:hint="cs"/>
          <w:rtl/>
        </w:rPr>
        <w:t>ت</w:t>
      </w:r>
      <w:r w:rsidRPr="0092648A">
        <w:rPr>
          <w:rStyle w:val="Char"/>
          <w:rtl/>
        </w:rPr>
        <w:t xml:space="preserve"> تلك الجهود في </w:t>
      </w:r>
      <w:r w:rsidRPr="0092648A">
        <w:rPr>
          <w:rStyle w:val="Char"/>
          <w:rFonts w:hint="cs"/>
          <w:rtl/>
        </w:rPr>
        <w:t>تكوّن</w:t>
      </w:r>
      <w:r w:rsidRPr="0092648A">
        <w:rPr>
          <w:rStyle w:val="Char"/>
          <w:rtl/>
        </w:rPr>
        <w:t xml:space="preserve"> جيل من طلاب العلوم الدينية الشباب في كاشان ثم في يزد، اتجهوا شيئًا فشيئًا إلى ممارسة النشاط الديني-السياسي. </w:t>
      </w:r>
      <w:r w:rsidRPr="0092648A">
        <w:rPr>
          <w:rStyle w:val="Char"/>
          <w:rFonts w:hint="cs"/>
          <w:rtl/>
        </w:rPr>
        <w:t>كما</w:t>
      </w:r>
      <w:r w:rsidRPr="0092648A">
        <w:rPr>
          <w:rStyle w:val="Char"/>
          <w:rtl/>
        </w:rPr>
        <w:t xml:space="preserve"> أدى ذلك إلى انضمام عدد من طلاب العلوم الدينية الشباب </w:t>
      </w:r>
      <w:r w:rsidRPr="0092648A">
        <w:rPr>
          <w:rStyle w:val="Char"/>
          <w:rFonts w:hint="cs"/>
          <w:rtl/>
        </w:rPr>
        <w:t xml:space="preserve">في كاشان </w:t>
      </w:r>
      <w:r w:rsidRPr="0092648A">
        <w:rPr>
          <w:rStyle w:val="Char"/>
          <w:rtl/>
        </w:rPr>
        <w:t xml:space="preserve">إلى منظمة فدائيان </w:t>
      </w:r>
      <w:r w:rsidRPr="0092648A">
        <w:rPr>
          <w:rStyle w:val="Char"/>
          <w:rFonts w:hint="cs"/>
          <w:rtl/>
        </w:rPr>
        <w:t>إ</w:t>
      </w:r>
      <w:r w:rsidRPr="0092648A">
        <w:rPr>
          <w:rStyle w:val="Char"/>
          <w:rtl/>
        </w:rPr>
        <w:t>سلام. يقول أستاذنا الحاج السيد محمد علي روضاتي - الذي كان قد رأى الشيخ ال</w:t>
      </w:r>
      <w:r w:rsidRPr="0092648A">
        <w:rPr>
          <w:rStyle w:val="Char"/>
          <w:rFonts w:hint="cs"/>
          <w:rtl/>
        </w:rPr>
        <w:t>خ</w:t>
      </w:r>
      <w:r w:rsidRPr="0092648A">
        <w:rPr>
          <w:rStyle w:val="Char"/>
          <w:rtl/>
        </w:rPr>
        <w:t>الصي في الكاظمين - : رغم عدم اهتمامه بالعلاقات العامة، كان للشيخ الخالصي مريدون يرافقونه على الدوام ولا يفارقونه.</w:t>
      </w:r>
      <w:r w:rsidRPr="0092648A">
        <w:rPr>
          <w:rStyle w:val="Char"/>
          <w:rFonts w:hint="cs"/>
          <w:rtl/>
        </w:rPr>
        <w:t xml:space="preserve"> </w:t>
      </w:r>
      <w:r w:rsidRPr="0092648A">
        <w:rPr>
          <w:rStyle w:val="Char"/>
          <w:rtl/>
        </w:rPr>
        <w:t>وعندما كان الخالصي في الكاظمين، أل</w:t>
      </w:r>
      <w:r w:rsidRPr="0092648A">
        <w:rPr>
          <w:rStyle w:val="Char"/>
          <w:rFonts w:hint="cs"/>
          <w:rtl/>
        </w:rPr>
        <w:t>َّ</w:t>
      </w:r>
      <w:r w:rsidRPr="0092648A">
        <w:rPr>
          <w:rStyle w:val="Char"/>
          <w:rtl/>
        </w:rPr>
        <w:t>ف رسالة</w:t>
      </w:r>
      <w:r w:rsidRPr="0092648A">
        <w:rPr>
          <w:rStyle w:val="Char"/>
          <w:rFonts w:hint="cs"/>
          <w:rtl/>
        </w:rPr>
        <w:t>ً</w:t>
      </w:r>
      <w:r w:rsidRPr="0092648A">
        <w:rPr>
          <w:rStyle w:val="Char"/>
          <w:rtl/>
        </w:rPr>
        <w:t xml:space="preserve"> ضد فتوى آية الله [محسن] الحكيم حول الشهادة الثالثة في الأذان. كان آية الله الحكيم قد أعلن أن ذكر الشهادة الثالثة رمز التشيُّع، فرد</w:t>
      </w:r>
      <w:r w:rsidRPr="0092648A">
        <w:rPr>
          <w:rStyle w:val="Char"/>
          <w:rFonts w:hint="cs"/>
          <w:rtl/>
        </w:rPr>
        <w:t>ّ</w:t>
      </w:r>
      <w:r w:rsidRPr="0092648A">
        <w:rPr>
          <w:rStyle w:val="Char"/>
          <w:rtl/>
        </w:rPr>
        <w:t xml:space="preserve"> الخالصي على ذلك من خلال عرض</w:t>
      </w:r>
      <w:r w:rsidRPr="0092648A">
        <w:rPr>
          <w:rStyle w:val="Char"/>
          <w:rFonts w:hint="cs"/>
          <w:rtl/>
        </w:rPr>
        <w:t>ه</w:t>
      </w:r>
      <w:r w:rsidRPr="0092648A">
        <w:rPr>
          <w:rStyle w:val="Char"/>
          <w:rtl/>
        </w:rPr>
        <w:t xml:space="preserve"> </w:t>
      </w:r>
      <w:r w:rsidRPr="0092648A">
        <w:rPr>
          <w:rStyle w:val="Char"/>
          <w:rFonts w:hint="cs"/>
          <w:rtl/>
        </w:rPr>
        <w:t>ل</w:t>
      </w:r>
      <w:r w:rsidRPr="0092648A">
        <w:rPr>
          <w:rStyle w:val="Char"/>
          <w:rtl/>
        </w:rPr>
        <w:t xml:space="preserve">أقوال الفقهاء الماضين، وانتقد نظرية آية الله الحكيم </w:t>
      </w:r>
      <w:r w:rsidRPr="0092648A">
        <w:rPr>
          <w:rStyle w:val="Char"/>
          <w:rFonts w:hint="cs"/>
          <w:rtl/>
        </w:rPr>
        <w:t>وفتواه</w:t>
      </w:r>
      <w:r w:rsidRPr="0092648A">
        <w:rPr>
          <w:rStyle w:val="Char"/>
          <w:rtl/>
        </w:rPr>
        <w:t>.</w:t>
      </w:r>
      <w:r w:rsidRPr="006E28E9">
        <w:rPr>
          <w:rStyle w:val="Char"/>
          <w:rFonts w:ascii="Arabic11 BT" w:hAnsi="Arabic11 BT" w:cs="Arabic11 BT"/>
          <w:vertAlign w:val="superscript"/>
          <w:rtl/>
        </w:rPr>
        <w:footnoteReference w:id="271"/>
      </w:r>
    </w:p>
    <w:p w:rsidR="00DA6CFB" w:rsidRPr="0092648A" w:rsidRDefault="00DA6CFB" w:rsidP="0092648A">
      <w:pPr>
        <w:widowControl w:val="0"/>
        <w:spacing w:line="216" w:lineRule="auto"/>
        <w:ind w:firstLine="284"/>
        <w:jc w:val="both"/>
        <w:rPr>
          <w:rStyle w:val="Char"/>
          <w:rtl/>
        </w:rPr>
      </w:pPr>
      <w:r w:rsidRPr="0092648A">
        <w:rPr>
          <w:rStyle w:val="Char"/>
          <w:rtl/>
        </w:rPr>
        <w:t xml:space="preserve">كان للخالصي </w:t>
      </w:r>
      <w:r w:rsidRPr="0092648A">
        <w:rPr>
          <w:rStyle w:val="Char"/>
          <w:rFonts w:hint="cs"/>
          <w:rtl/>
        </w:rPr>
        <w:t xml:space="preserve">مشربٌ </w:t>
      </w:r>
      <w:r w:rsidRPr="0092648A">
        <w:rPr>
          <w:rStyle w:val="Char"/>
          <w:rtl/>
        </w:rPr>
        <w:t>خاص</w:t>
      </w:r>
      <w:r w:rsidRPr="0092648A">
        <w:rPr>
          <w:rStyle w:val="Char"/>
          <w:rFonts w:hint="cs"/>
          <w:rtl/>
        </w:rPr>
        <w:t>ٌّ</w:t>
      </w:r>
      <w:r w:rsidRPr="0092648A">
        <w:rPr>
          <w:rStyle w:val="Char"/>
          <w:rtl/>
        </w:rPr>
        <w:t xml:space="preserve"> </w:t>
      </w:r>
      <w:r w:rsidRPr="0092648A">
        <w:rPr>
          <w:rStyle w:val="Char"/>
          <w:rFonts w:hint="cs"/>
          <w:rtl/>
        </w:rPr>
        <w:t xml:space="preserve">به </w:t>
      </w:r>
      <w:r w:rsidRPr="0092648A">
        <w:rPr>
          <w:rStyle w:val="Char"/>
          <w:rtl/>
        </w:rPr>
        <w:t xml:space="preserve">في معرفة الدين وفهمه، يسعى من خلاله إلى إيجاد طريق ثالث جديد بين التجدُّد، والتقليد. كان له مريدوه المقربون </w:t>
      </w:r>
      <w:r w:rsidRPr="0092648A">
        <w:rPr>
          <w:rStyle w:val="Char"/>
          <w:rFonts w:hint="cs"/>
          <w:rtl/>
        </w:rPr>
        <w:t xml:space="preserve">الذين يقطنون </w:t>
      </w:r>
      <w:r w:rsidRPr="0092648A">
        <w:rPr>
          <w:rStyle w:val="Char"/>
          <w:rtl/>
        </w:rPr>
        <w:t>في طهران و</w:t>
      </w:r>
      <w:r w:rsidRPr="0092648A">
        <w:rPr>
          <w:rStyle w:val="Char"/>
          <w:rFonts w:hint="cs"/>
          <w:rtl/>
        </w:rPr>
        <w:t xml:space="preserve">في </w:t>
      </w:r>
      <w:r w:rsidRPr="0092648A">
        <w:rPr>
          <w:rStyle w:val="Char"/>
          <w:rtl/>
        </w:rPr>
        <w:t>سائر المدن الإيرانية، وكان يهاجم في كتاباته الفهم الرسمي التقليدي السائد للدين والمذهب.</w:t>
      </w:r>
      <w:r w:rsidRPr="006E28E9">
        <w:rPr>
          <w:rStyle w:val="Char"/>
          <w:rFonts w:ascii="Arabic11 BT" w:hAnsi="Arabic11 BT" w:cs="Arabic11 BT"/>
          <w:vertAlign w:val="superscript"/>
          <w:rtl/>
        </w:rPr>
        <w:footnoteReference w:id="272"/>
      </w:r>
      <w:r w:rsidRPr="0092648A">
        <w:rPr>
          <w:rStyle w:val="Char"/>
          <w:rtl/>
        </w:rPr>
        <w:t xml:space="preserve"> ولا يخفى أنه كانت هناك في مؤلفات الخالصي بعض الأفكار الحديثة التجديدية لاسيما في موضوع الحجاب والمرأة.</w:t>
      </w:r>
      <w:r w:rsidRPr="006E28E9">
        <w:rPr>
          <w:rStyle w:val="Char"/>
          <w:rFonts w:ascii="Arabic11 BT" w:hAnsi="Arabic11 BT" w:cs="Arabic11 BT"/>
          <w:vertAlign w:val="superscript"/>
          <w:rtl/>
        </w:rPr>
        <w:footnoteReference w:id="273"/>
      </w:r>
      <w:r w:rsidRPr="0092648A">
        <w:rPr>
          <w:rStyle w:val="Char"/>
          <w:rtl/>
        </w:rPr>
        <w:t xml:space="preserve"> وكانت تلك الميول سببًا في اتخاذ عدد من العلماء التقليديين مواقف ضد</w:t>
      </w:r>
      <w:r w:rsidRPr="0092648A">
        <w:rPr>
          <w:rStyle w:val="Char"/>
          <w:rFonts w:hint="cs"/>
          <w:rtl/>
        </w:rPr>
        <w:t>َّ</w:t>
      </w:r>
      <w:r w:rsidRPr="0092648A">
        <w:rPr>
          <w:rStyle w:val="Char"/>
          <w:rtl/>
        </w:rPr>
        <w:t>ه. ومنهم السيد بحر العلوم صاحب جمعية القرآن في مدينة رشت، الذي ألف في الرد على الخالصي كتاب «</w:t>
      </w:r>
      <w:r w:rsidRPr="0092648A">
        <w:rPr>
          <w:rStyle w:val="Char8"/>
          <w:rtl/>
        </w:rPr>
        <w:t xml:space="preserve">پاسخ به </w:t>
      </w:r>
      <w:r w:rsidRPr="0092648A">
        <w:rPr>
          <w:rStyle w:val="Char8"/>
          <w:rtl/>
        </w:rPr>
        <w:lastRenderedPageBreak/>
        <w:t>پندارها</w:t>
      </w:r>
      <w:r w:rsidRPr="0092648A">
        <w:rPr>
          <w:rStyle w:val="Char"/>
          <w:rtl/>
        </w:rPr>
        <w:t xml:space="preserve">» </w:t>
      </w:r>
      <w:r w:rsidRPr="0092648A">
        <w:rPr>
          <w:rStyle w:val="Char"/>
          <w:rFonts w:hint="cs"/>
          <w:rtl/>
        </w:rPr>
        <w:t>[</w:t>
      </w:r>
      <w:r w:rsidRPr="0092648A">
        <w:rPr>
          <w:rStyle w:val="Char"/>
          <w:rtl/>
        </w:rPr>
        <w:t>أي الرد على الأوهام والظنون</w:t>
      </w:r>
      <w:r w:rsidRPr="0092648A">
        <w:rPr>
          <w:rStyle w:val="Char"/>
          <w:rFonts w:hint="cs"/>
          <w:rtl/>
        </w:rPr>
        <w:t>]</w:t>
      </w:r>
      <w:r w:rsidRPr="0092648A">
        <w:rPr>
          <w:rStyle w:val="Char"/>
          <w:rtl/>
        </w:rPr>
        <w:t>، وط</w:t>
      </w:r>
      <w:r w:rsidRPr="0092648A">
        <w:rPr>
          <w:rStyle w:val="Char"/>
          <w:rFonts w:hint="cs"/>
          <w:rtl/>
        </w:rPr>
        <w:t>ُ</w:t>
      </w:r>
      <w:r w:rsidRPr="0092648A">
        <w:rPr>
          <w:rStyle w:val="Char"/>
          <w:rtl/>
        </w:rPr>
        <w:t>ب</w:t>
      </w:r>
      <w:r w:rsidRPr="0092648A">
        <w:rPr>
          <w:rStyle w:val="Char"/>
          <w:rFonts w:hint="cs"/>
          <w:rtl/>
        </w:rPr>
        <w:t>ِ</w:t>
      </w:r>
      <w:r w:rsidRPr="0092648A">
        <w:rPr>
          <w:rStyle w:val="Char"/>
          <w:rtl/>
        </w:rPr>
        <w:t>ع سنة 1345 هـ.ش [1966م].</w:t>
      </w:r>
    </w:p>
    <w:p w:rsidR="00DA6CFB" w:rsidRPr="0092648A" w:rsidRDefault="00DA6CFB" w:rsidP="0092648A">
      <w:pPr>
        <w:widowControl w:val="0"/>
        <w:spacing w:line="216" w:lineRule="auto"/>
        <w:ind w:firstLine="284"/>
        <w:jc w:val="both"/>
        <w:rPr>
          <w:rStyle w:val="Char"/>
          <w:rtl/>
        </w:rPr>
      </w:pPr>
      <w:r w:rsidRPr="0092648A">
        <w:rPr>
          <w:rStyle w:val="Char"/>
          <w:rtl/>
        </w:rPr>
        <w:t>كانت كتب الخالصي ومؤلفات</w:t>
      </w:r>
      <w:r w:rsidRPr="0092648A">
        <w:rPr>
          <w:rStyle w:val="Char"/>
          <w:rFonts w:hint="cs"/>
          <w:rtl/>
        </w:rPr>
        <w:t>ه</w:t>
      </w:r>
      <w:r w:rsidRPr="0092648A">
        <w:rPr>
          <w:rStyle w:val="Char"/>
          <w:rtl/>
        </w:rPr>
        <w:t xml:space="preserve"> العلمية تدور بشكل عام حول محاربة الخرافات الدينية - أو ما </w:t>
      </w:r>
      <w:r w:rsidRPr="0092648A">
        <w:rPr>
          <w:rStyle w:val="Char"/>
          <w:rFonts w:hint="cs"/>
          <w:rtl/>
        </w:rPr>
        <w:t>يعتبره</w:t>
      </w:r>
      <w:r w:rsidRPr="0092648A">
        <w:rPr>
          <w:rStyle w:val="Char"/>
          <w:rtl/>
        </w:rPr>
        <w:t xml:space="preserve"> هو </w:t>
      </w:r>
      <w:r w:rsidRPr="0092648A">
        <w:rPr>
          <w:rStyle w:val="Char"/>
          <w:rFonts w:hint="cs"/>
          <w:rtl/>
        </w:rPr>
        <w:t>من ال</w:t>
      </w:r>
      <w:r w:rsidRPr="0092648A">
        <w:rPr>
          <w:rStyle w:val="Char"/>
          <w:rtl/>
        </w:rPr>
        <w:t>خرافات</w:t>
      </w:r>
      <w:r w:rsidRPr="0092648A">
        <w:rPr>
          <w:rStyle w:val="Char"/>
          <w:rFonts w:hint="cs"/>
          <w:rtl/>
        </w:rPr>
        <w:t>-،</w:t>
      </w:r>
      <w:r w:rsidRPr="0092648A">
        <w:rPr>
          <w:rStyle w:val="Char"/>
          <w:rtl/>
        </w:rPr>
        <w:t xml:space="preserve"> ومحاربة البهائيين والشيخية</w:t>
      </w:r>
      <w:r w:rsidRPr="0092648A">
        <w:rPr>
          <w:rStyle w:val="Char"/>
          <w:rFonts w:hint="cs"/>
          <w:rtl/>
        </w:rPr>
        <w:t>،</w:t>
      </w:r>
      <w:r w:rsidRPr="006E28E9">
        <w:rPr>
          <w:rStyle w:val="Char"/>
          <w:rFonts w:ascii="Arabic11 BT" w:hAnsi="Arabic11 BT" w:cs="Arabic11 BT"/>
          <w:vertAlign w:val="superscript"/>
          <w:rtl/>
        </w:rPr>
        <w:footnoteReference w:id="274"/>
      </w:r>
      <w:r w:rsidRPr="0092648A">
        <w:rPr>
          <w:rStyle w:val="Char"/>
          <w:rtl/>
        </w:rPr>
        <w:t xml:space="preserve"> وتبليغ الوجوب العيني لصلاة الجمعة [في كل العصور]</w:t>
      </w:r>
      <w:r w:rsidRPr="0092648A">
        <w:rPr>
          <w:rStyle w:val="Char"/>
          <w:rFonts w:hint="cs"/>
          <w:rtl/>
        </w:rPr>
        <w:t>،</w:t>
      </w:r>
      <w:r w:rsidRPr="0092648A">
        <w:rPr>
          <w:rStyle w:val="Char"/>
          <w:rtl/>
        </w:rPr>
        <w:t xml:space="preserve"> والدعوة إلى الوحدة الإسلامية، و</w:t>
      </w:r>
      <w:r w:rsidRPr="0092648A">
        <w:rPr>
          <w:rStyle w:val="Char"/>
          <w:rFonts w:hint="cs"/>
          <w:rtl/>
        </w:rPr>
        <w:t xml:space="preserve">إلى </w:t>
      </w:r>
      <w:r w:rsidRPr="0092648A">
        <w:rPr>
          <w:rStyle w:val="Char"/>
          <w:rtl/>
        </w:rPr>
        <w:t xml:space="preserve">تطبيق أحكام الإسلام في </w:t>
      </w:r>
      <w:r w:rsidRPr="0092648A">
        <w:rPr>
          <w:rStyle w:val="Char"/>
          <w:rFonts w:hint="cs"/>
          <w:rtl/>
        </w:rPr>
        <w:t>الدولة و</w:t>
      </w:r>
      <w:r w:rsidRPr="0092648A">
        <w:rPr>
          <w:rStyle w:val="Char"/>
          <w:rtl/>
        </w:rPr>
        <w:t>المجتمع مع الأخذ بأسباب العلم الحديث، وسعت كتاباته بشكل عام إلى بيان الب</w:t>
      </w:r>
      <w:r w:rsidRPr="0092648A">
        <w:rPr>
          <w:rStyle w:val="Char"/>
          <w:rFonts w:hint="cs"/>
          <w:rtl/>
        </w:rPr>
        <w:t>ُ</w:t>
      </w:r>
      <w:r w:rsidRPr="0092648A">
        <w:rPr>
          <w:rStyle w:val="Char"/>
          <w:rtl/>
        </w:rPr>
        <w:t xml:space="preserve">عد الاجتماعي-السياسي للإسلام. </w:t>
      </w:r>
      <w:r w:rsidRPr="006E28E9">
        <w:rPr>
          <w:rStyle w:val="Char"/>
          <w:rFonts w:ascii="Arabic11 BT" w:hAnsi="Arabic11 BT" w:cs="Arabic11 BT"/>
          <w:vertAlign w:val="superscript"/>
          <w:rtl/>
        </w:rPr>
        <w:footnoteReference w:id="275"/>
      </w:r>
    </w:p>
    <w:p w:rsidR="00DA6CFB" w:rsidRPr="0092648A" w:rsidRDefault="00DA6CFB" w:rsidP="0092648A">
      <w:pPr>
        <w:widowControl w:val="0"/>
        <w:spacing w:line="216" w:lineRule="auto"/>
        <w:ind w:firstLine="284"/>
        <w:jc w:val="both"/>
        <w:rPr>
          <w:rStyle w:val="Char"/>
          <w:rtl/>
        </w:rPr>
      </w:pPr>
      <w:r w:rsidRPr="0092648A">
        <w:rPr>
          <w:rStyle w:val="Char"/>
          <w:rtl/>
        </w:rPr>
        <w:t xml:space="preserve">كان يعارض ذكر الشهادة الثالثة في الأذان، وكانت آراؤه تلك هي السبب الأساسي في اعتراض </w:t>
      </w:r>
      <w:r w:rsidRPr="0092648A">
        <w:rPr>
          <w:rStyle w:val="Char"/>
          <w:rtl/>
        </w:rPr>
        <w:lastRenderedPageBreak/>
        <w:t>مجتمع الشيعة عليه ومخالفتهم له، أما مريدوه فكانوا يدافعون عنه دفاعًا شديدًا.</w:t>
      </w:r>
      <w:r w:rsidRPr="006E28E9">
        <w:rPr>
          <w:rStyle w:val="Char"/>
          <w:rFonts w:ascii="Arabic11 BT" w:hAnsi="Arabic11 BT" w:cs="Arabic11 BT"/>
          <w:vertAlign w:val="superscript"/>
          <w:rtl/>
        </w:rPr>
        <w:footnoteReference w:id="276"/>
      </w:r>
    </w:p>
    <w:p w:rsidR="00DA6CFB" w:rsidRPr="0092648A" w:rsidRDefault="00DA6CFB" w:rsidP="0092648A">
      <w:pPr>
        <w:widowControl w:val="0"/>
        <w:spacing w:line="216" w:lineRule="auto"/>
        <w:ind w:firstLine="284"/>
        <w:jc w:val="both"/>
        <w:rPr>
          <w:rStyle w:val="Char"/>
          <w:rtl/>
        </w:rPr>
      </w:pPr>
      <w:r w:rsidRPr="0092648A">
        <w:rPr>
          <w:rStyle w:val="Char"/>
          <w:rtl/>
        </w:rPr>
        <w:t>أشار السيد خاتم يزدي، الذي التقى بالشيخ الخالصي في يزد، إلى بعض وجهات نظره</w:t>
      </w:r>
      <w:r w:rsidRPr="0092648A">
        <w:rPr>
          <w:rStyle w:val="Char"/>
          <w:rFonts w:hint="cs"/>
          <w:rtl/>
        </w:rPr>
        <w:t xml:space="preserve"> </w:t>
      </w:r>
      <w:r w:rsidRPr="0092648A">
        <w:rPr>
          <w:rStyle w:val="Char"/>
          <w:rtl/>
        </w:rPr>
        <w:t>وآرائه، وبي</w:t>
      </w:r>
      <w:r w:rsidRPr="0092648A">
        <w:rPr>
          <w:rStyle w:val="Char"/>
          <w:rFonts w:hint="cs"/>
          <w:rtl/>
        </w:rPr>
        <w:t>َّ</w:t>
      </w:r>
      <w:r w:rsidRPr="0092648A">
        <w:rPr>
          <w:rStyle w:val="Char"/>
          <w:rtl/>
        </w:rPr>
        <w:t>ن خدماته وشجاعته في مواجهة مسؤولي الدولة.</w:t>
      </w:r>
      <w:r w:rsidRPr="006E28E9">
        <w:rPr>
          <w:rStyle w:val="Char"/>
          <w:rFonts w:ascii="Arabic11 BT" w:hAnsi="Arabic11 BT" w:cs="Arabic11 BT"/>
          <w:vertAlign w:val="superscript"/>
          <w:rtl/>
        </w:rPr>
        <w:footnoteReference w:id="277"/>
      </w:r>
    </w:p>
    <w:p w:rsidR="00DA6CFB" w:rsidRPr="0092648A" w:rsidRDefault="00DA6CFB" w:rsidP="0092648A">
      <w:pPr>
        <w:widowControl w:val="0"/>
        <w:spacing w:line="216" w:lineRule="auto"/>
        <w:ind w:firstLine="284"/>
        <w:jc w:val="both"/>
        <w:rPr>
          <w:rStyle w:val="Char"/>
          <w:rtl/>
        </w:rPr>
      </w:pPr>
      <w:r w:rsidRPr="0092648A">
        <w:rPr>
          <w:rStyle w:val="Char"/>
          <w:rtl/>
        </w:rPr>
        <w:t xml:space="preserve">كان خالصي زاده أحد الحالات التي يمكننا أن نعتبرها حلقةً من حلقات تأثير الأفكار الإسلامية-الشيعية الجديدة </w:t>
      </w:r>
      <w:r w:rsidRPr="0092648A">
        <w:rPr>
          <w:rStyle w:val="Char"/>
          <w:rFonts w:hint="cs"/>
          <w:rtl/>
        </w:rPr>
        <w:t>ل</w:t>
      </w:r>
      <w:r w:rsidRPr="0092648A">
        <w:rPr>
          <w:rStyle w:val="Char"/>
          <w:rtl/>
        </w:rPr>
        <w:t>لعراق في إيران. حلقة</w:t>
      </w:r>
      <w:r w:rsidRPr="0092648A">
        <w:rPr>
          <w:rStyle w:val="Char"/>
          <w:rFonts w:hint="cs"/>
          <w:rtl/>
        </w:rPr>
        <w:t>ٌ</w:t>
      </w:r>
      <w:r w:rsidRPr="0092648A">
        <w:rPr>
          <w:rStyle w:val="Char"/>
          <w:rtl/>
        </w:rPr>
        <w:t xml:space="preserve"> كان</w:t>
      </w:r>
      <w:r w:rsidRPr="0092648A">
        <w:rPr>
          <w:rStyle w:val="Char"/>
          <w:rFonts w:hint="cs"/>
          <w:rtl/>
        </w:rPr>
        <w:t>ت</w:t>
      </w:r>
      <w:r w:rsidRPr="0092648A">
        <w:rPr>
          <w:rStyle w:val="Char"/>
          <w:rtl/>
        </w:rPr>
        <w:t xml:space="preserve"> فيها تجارب سياسية وحتى عسكرية من النضال ضد الإنجليز. وكان النموذج الآخر لهذا النمط</w:t>
      </w:r>
      <w:r w:rsidRPr="0092648A">
        <w:rPr>
          <w:rStyle w:val="Char"/>
          <w:rFonts w:hint="cs"/>
          <w:rtl/>
        </w:rPr>
        <w:t>،</w:t>
      </w:r>
      <w:r w:rsidRPr="0092648A">
        <w:rPr>
          <w:rStyle w:val="Char"/>
          <w:rtl/>
        </w:rPr>
        <w:t xml:space="preserve"> والذي كان </w:t>
      </w:r>
      <w:r w:rsidRPr="0092648A">
        <w:rPr>
          <w:rStyle w:val="Char"/>
          <w:rFonts w:hint="cs"/>
          <w:rtl/>
        </w:rPr>
        <w:t>أكثر</w:t>
      </w:r>
      <w:r w:rsidRPr="0092648A">
        <w:rPr>
          <w:rStyle w:val="Char"/>
          <w:rtl/>
        </w:rPr>
        <w:t xml:space="preserve"> حدَّةً في الأمور السياسية</w:t>
      </w:r>
      <w:r w:rsidRPr="0092648A">
        <w:rPr>
          <w:rStyle w:val="Char"/>
          <w:rFonts w:hint="cs"/>
          <w:rtl/>
        </w:rPr>
        <w:t>،</w:t>
      </w:r>
      <w:r w:rsidRPr="0092648A">
        <w:rPr>
          <w:rStyle w:val="Char"/>
          <w:rtl/>
        </w:rPr>
        <w:t xml:space="preserve"> هو آية الله الكاشاني</w:t>
      </w:r>
      <w:r w:rsidRPr="006E28E9">
        <w:rPr>
          <w:rStyle w:val="Char"/>
          <w:rFonts w:ascii="Arabic11 BT" w:hAnsi="Arabic11 BT" w:cs="Arabic11 BT"/>
          <w:vertAlign w:val="superscript"/>
          <w:rtl/>
        </w:rPr>
        <w:footnoteReference w:id="278"/>
      </w:r>
      <w:r w:rsidRPr="0092648A">
        <w:rPr>
          <w:rStyle w:val="Char"/>
          <w:rtl/>
        </w:rPr>
        <w:t>.</w:t>
      </w:r>
    </w:p>
    <w:p w:rsidR="00DA6CFB" w:rsidRDefault="00DA6CFB" w:rsidP="0092648A">
      <w:pPr>
        <w:pStyle w:val="2"/>
        <w:rPr>
          <w:rtl/>
        </w:rPr>
      </w:pPr>
      <w:bookmarkStart w:id="30" w:name="_Toc444083817"/>
      <w:r>
        <w:rPr>
          <w:rFonts w:hint="cs"/>
          <w:rtl/>
        </w:rPr>
        <w:t>6. حيدر علي قلمداران</w:t>
      </w:r>
      <w:bookmarkEnd w:id="30"/>
    </w:p>
    <w:p w:rsidR="00DA6CFB" w:rsidRPr="0092648A" w:rsidRDefault="00DA6CFB" w:rsidP="0092648A">
      <w:pPr>
        <w:widowControl w:val="0"/>
        <w:spacing w:line="216" w:lineRule="auto"/>
        <w:ind w:firstLine="284"/>
        <w:jc w:val="both"/>
        <w:rPr>
          <w:rStyle w:val="Char"/>
          <w:rtl/>
        </w:rPr>
      </w:pPr>
      <w:r w:rsidRPr="0092648A">
        <w:rPr>
          <w:rStyle w:val="Char"/>
          <w:rFonts w:hint="cs"/>
          <w:rtl/>
        </w:rPr>
        <w:t>حيد علي قلمداران بن محمد إسماعيل، أصله من مدينة تفرش إلا أنه عاش في مدينة قم. كان اسم عائلته هيربد فقام بتبديله إلى اسم قلمداران. ولد سنة 1290 هـ.ش</w:t>
      </w:r>
      <w:r w:rsidRPr="006E28E9">
        <w:rPr>
          <w:rStyle w:val="Char"/>
          <w:rFonts w:ascii="Arabic11 BT" w:hAnsi="Arabic11 BT" w:cs="Arabic11 BT"/>
          <w:vertAlign w:val="superscript"/>
          <w:rtl/>
        </w:rPr>
        <w:footnoteReference w:id="279"/>
      </w:r>
      <w:r w:rsidRPr="0092648A">
        <w:rPr>
          <w:rStyle w:val="Char"/>
          <w:rFonts w:hint="cs"/>
          <w:rtl/>
        </w:rPr>
        <w:t xml:space="preserve"> (1333 هـ.ق) في قرية ديزيجان التي تقع على وسط الطريق بين قم وأراك. في حوالي الثلاثين من عمره بدأ العمل في سلك التربية والتعليم. بعد أن أمضى عدة عقود من العمل في مديرية التربية والتعليم، تعرض سنة 1358 هـ.ش [1979م]، عندما كان في قريته ديزيجان، إلى هجوم مسلح [بهدف اغتياله] لكنه نجا من </w:t>
      </w:r>
      <w:r w:rsidRPr="0092648A">
        <w:rPr>
          <w:rStyle w:val="Char"/>
          <w:rFonts w:hint="cs"/>
          <w:rtl/>
        </w:rPr>
        <w:lastRenderedPageBreak/>
        <w:t>محاولة الاغتيال تلك ولم يسفر الهجوم إلا عن إصابته ببعض الجروح فقط.</w:t>
      </w:r>
      <w:r w:rsidRPr="006E28E9">
        <w:rPr>
          <w:rStyle w:val="Char"/>
          <w:rFonts w:ascii="Arabic11 BT" w:hAnsi="Arabic11 BT" w:cs="Arabic11 BT"/>
          <w:vertAlign w:val="superscript"/>
          <w:rtl/>
        </w:rPr>
        <w:footnoteReference w:id="280"/>
      </w:r>
      <w:r w:rsidRPr="0092648A">
        <w:rPr>
          <w:rStyle w:val="Char"/>
          <w:rFonts w:hint="cs"/>
          <w:rtl/>
        </w:rPr>
        <w:t xml:space="preserve"> عندما بلغ الستين من عمره أصيب بسكتة دماغية أصابته بالشلل وبعد أن أمضى ثمان سنوات مشلولاً وتحمل خلالها آلام المرض المضنية، توفي في 15/2/ 1368 [5/5/1989]، ودُفِن في مقبرة باغ بهشت في قم. صلى عليه مصطفى الحسيني الطباطبائي.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ابتدأ نشاطاته الثقافية والكتابية بتعاونه مع المطبوعات الدينية في عشرينيات هذا القرن.</w:t>
      </w:r>
      <w:r w:rsidRPr="006E28E9">
        <w:rPr>
          <w:rStyle w:val="Char"/>
          <w:rFonts w:ascii="Arabic11 BT" w:hAnsi="Arabic11 BT" w:cs="Arabic11 BT"/>
          <w:vertAlign w:val="superscript"/>
          <w:rtl/>
        </w:rPr>
        <w:footnoteReference w:id="281"/>
      </w:r>
      <w:r w:rsidRPr="0092648A">
        <w:rPr>
          <w:rStyle w:val="Char"/>
          <w:rFonts w:hint="cs"/>
          <w:rtl/>
        </w:rPr>
        <w:t xml:space="preserve"> كان ينشر مقالات في مجلات مثل </w:t>
      </w:r>
      <w:r w:rsidRPr="0092648A">
        <w:rPr>
          <w:rStyle w:val="Char8"/>
          <w:rFonts w:hint="cs"/>
          <w:rtl/>
        </w:rPr>
        <w:t>استوار</w:t>
      </w:r>
      <w:r w:rsidRPr="0092648A">
        <w:rPr>
          <w:rStyle w:val="Char"/>
          <w:rFonts w:hint="cs"/>
          <w:rtl/>
        </w:rPr>
        <w:t xml:space="preserve">، </w:t>
      </w:r>
      <w:r w:rsidRPr="0092648A">
        <w:rPr>
          <w:rStyle w:val="Char8"/>
          <w:rFonts w:hint="cs"/>
          <w:rtl/>
        </w:rPr>
        <w:t>وسرچشمه</w:t>
      </w:r>
      <w:r w:rsidRPr="0092648A">
        <w:rPr>
          <w:rStyle w:val="Char"/>
          <w:rFonts w:hint="cs"/>
          <w:rtl/>
        </w:rPr>
        <w:t xml:space="preserve"> في قم، ومجلات مثل </w:t>
      </w:r>
      <w:r w:rsidRPr="0092648A">
        <w:rPr>
          <w:rStyle w:val="Char8"/>
          <w:rFonts w:hint="cs"/>
          <w:rtl/>
        </w:rPr>
        <w:t>وظ</w:t>
      </w:r>
      <w:r w:rsidR="008C7124">
        <w:rPr>
          <w:rStyle w:val="Char8"/>
          <w:rFonts w:hint="cs"/>
          <w:rtl/>
        </w:rPr>
        <w:t>ی</w:t>
      </w:r>
      <w:r w:rsidRPr="0092648A">
        <w:rPr>
          <w:rStyle w:val="Char8"/>
          <w:rFonts w:hint="cs"/>
          <w:rtl/>
        </w:rPr>
        <w:t>فه</w:t>
      </w:r>
      <w:r w:rsidRPr="0092648A">
        <w:rPr>
          <w:rStyle w:val="Char"/>
          <w:rFonts w:hint="cs"/>
          <w:rtl/>
        </w:rPr>
        <w:t>، و</w:t>
      </w:r>
      <w:r w:rsidR="008C7124">
        <w:rPr>
          <w:rStyle w:val="Char8"/>
          <w:rFonts w:hint="cs"/>
          <w:rtl/>
        </w:rPr>
        <w:t>ی</w:t>
      </w:r>
      <w:r w:rsidRPr="0092648A">
        <w:rPr>
          <w:rStyle w:val="Char8"/>
          <w:rFonts w:hint="cs"/>
          <w:rtl/>
        </w:rPr>
        <w:t>غما</w:t>
      </w:r>
      <w:r w:rsidRPr="0092648A">
        <w:rPr>
          <w:rStyle w:val="Char"/>
          <w:rFonts w:hint="cs"/>
          <w:rtl/>
        </w:rPr>
        <w:t xml:space="preserve"> في طهران. كما نشر في سنّ الشباب في عشرينيات هذا القرن مقالات في أعداد السنة الرابعة لمجلة «</w:t>
      </w:r>
      <w:r w:rsidRPr="0092648A">
        <w:rPr>
          <w:rStyle w:val="Char8"/>
          <w:rFonts w:hint="cs"/>
          <w:rtl/>
        </w:rPr>
        <w:t>آ</w:t>
      </w:r>
      <w:r w:rsidR="008C7124">
        <w:rPr>
          <w:rStyle w:val="Char8"/>
          <w:rFonts w:hint="cs"/>
          <w:rtl/>
        </w:rPr>
        <w:t>یی</w:t>
      </w:r>
      <w:r w:rsidRPr="0092648A">
        <w:rPr>
          <w:rStyle w:val="Char8"/>
          <w:rFonts w:hint="cs"/>
          <w:rtl/>
        </w:rPr>
        <w:t>ن اسلام</w:t>
      </w:r>
      <w:r w:rsidRPr="0092648A">
        <w:rPr>
          <w:rStyle w:val="Char"/>
          <w:rFonts w:hint="cs"/>
          <w:rtl/>
        </w:rPr>
        <w:t>».</w:t>
      </w:r>
      <w:r w:rsidRPr="006E28E9">
        <w:rPr>
          <w:rStyle w:val="Char"/>
          <w:rFonts w:ascii="Arabic11 BT" w:hAnsi="Arabic11 BT" w:cs="Arabic11 BT"/>
          <w:vertAlign w:val="superscript"/>
          <w:rtl/>
        </w:rPr>
        <w:footnoteReference w:id="282"/>
      </w:r>
      <w:r w:rsidRPr="0092648A">
        <w:rPr>
          <w:rStyle w:val="Char"/>
          <w:rFonts w:hint="cs"/>
          <w:rtl/>
        </w:rPr>
        <w:t xml:space="preserve"> كما نشرت مجلات أخرى مثل «</w:t>
      </w:r>
      <w:r w:rsidRPr="0092648A">
        <w:rPr>
          <w:rStyle w:val="Char8"/>
          <w:rFonts w:hint="cs"/>
          <w:rtl/>
        </w:rPr>
        <w:t>نور دانش</w:t>
      </w:r>
      <w:r w:rsidRPr="0092648A">
        <w:rPr>
          <w:rStyle w:val="Char"/>
          <w:rFonts w:hint="cs"/>
          <w:rtl/>
        </w:rPr>
        <w:t>» و«</w:t>
      </w:r>
      <w:r w:rsidRPr="0092648A">
        <w:rPr>
          <w:rStyle w:val="Char8"/>
          <w:rFonts w:hint="cs"/>
          <w:rtl/>
        </w:rPr>
        <w:t>ندا</w:t>
      </w:r>
      <w:r w:rsidR="008C7124">
        <w:rPr>
          <w:rStyle w:val="Char8"/>
          <w:rFonts w:hint="cs"/>
          <w:rtl/>
        </w:rPr>
        <w:t>ی</w:t>
      </w:r>
      <w:r w:rsidRPr="0092648A">
        <w:rPr>
          <w:rStyle w:val="Char"/>
          <w:rFonts w:hint="cs"/>
          <w:rtl/>
        </w:rPr>
        <w:t xml:space="preserve"> </w:t>
      </w:r>
      <w:r w:rsidRPr="0092648A">
        <w:rPr>
          <w:rStyle w:val="Char8"/>
          <w:rFonts w:hint="cs"/>
          <w:rtl/>
        </w:rPr>
        <w:t>حق</w:t>
      </w:r>
      <w:r w:rsidRPr="0092648A">
        <w:rPr>
          <w:rStyle w:val="Char"/>
          <w:rFonts w:hint="cs"/>
          <w:rtl/>
        </w:rPr>
        <w:t xml:space="preserve">» مقالات له. كان عنوان أحد مقالاته في مجلة </w:t>
      </w:r>
      <w:r w:rsidRPr="0092648A">
        <w:rPr>
          <w:rStyle w:val="Char8"/>
          <w:rFonts w:hint="cs"/>
          <w:rtl/>
        </w:rPr>
        <w:t>نور دانش</w:t>
      </w:r>
      <w:r w:rsidRPr="0092648A">
        <w:rPr>
          <w:rStyle w:val="Char"/>
          <w:rFonts w:hint="cs"/>
          <w:rtl/>
        </w:rPr>
        <w:t>: «هل تعلمون أن أعمالنا القبيحة تشوِّه الدين؟»</w:t>
      </w:r>
      <w:r w:rsidRPr="006E28E9">
        <w:rPr>
          <w:rStyle w:val="Char"/>
          <w:rFonts w:ascii="Arabic11 BT" w:hAnsi="Arabic11 BT" w:cs="Arabic11 BT"/>
          <w:vertAlign w:val="superscript"/>
          <w:rtl/>
        </w:rPr>
        <w:footnoteReference w:id="283"/>
      </w:r>
      <w:r w:rsidRPr="0092648A">
        <w:rPr>
          <w:rStyle w:val="Char"/>
          <w:rFonts w:hint="cs"/>
          <w:rtl/>
        </w:rPr>
        <w:t xml:space="preserve"> . وكان عنوان مقال آخر له في العدد 169 من مجلة «</w:t>
      </w:r>
      <w:r w:rsidRPr="0092648A">
        <w:rPr>
          <w:rStyle w:val="Char8"/>
          <w:rFonts w:hint="cs"/>
          <w:rtl/>
        </w:rPr>
        <w:t>نداى حق</w:t>
      </w:r>
      <w:r w:rsidRPr="0092648A">
        <w:rPr>
          <w:rStyle w:val="Char"/>
          <w:rFonts w:hint="cs"/>
          <w:rtl/>
        </w:rPr>
        <w:t>»: «هل أنتم مقلدون أم باحثون محققون؟». أُغرم قلمداران منذ شبابه بمؤلفات الشيخ محمد خالصي وقام بترجمة كتبه - التي كانت تختلف إلى حد ما عن الخط الرسمي للفكر الشيعي التقليدي والتي كتبت برؤية إصلاحية تصحيحية- من العربية إلى الفارسية. أحد الكتب التي قام قلمداران بترجمتها كتاب: «</w:t>
      </w:r>
      <w:r w:rsidRPr="008C7124">
        <w:rPr>
          <w:rStyle w:val="Char7"/>
          <w:rFonts w:hint="cs"/>
          <w:rtl/>
        </w:rPr>
        <w:t>إحياء الشريعة في مذهب الشيعة</w:t>
      </w:r>
      <w:r w:rsidRPr="0092648A">
        <w:rPr>
          <w:rStyle w:val="Char"/>
          <w:rFonts w:hint="cs"/>
          <w:rtl/>
        </w:rPr>
        <w:t>» الذي ترجمه في ثلاث مجلدات بعنوان «</w:t>
      </w:r>
      <w:r w:rsidRPr="0092648A">
        <w:rPr>
          <w:rStyle w:val="Char8"/>
          <w:rFonts w:hint="cs"/>
          <w:rtl/>
        </w:rPr>
        <w:t>آ</w:t>
      </w:r>
      <w:r w:rsidR="008C7124">
        <w:rPr>
          <w:rStyle w:val="Char8"/>
          <w:rFonts w:hint="cs"/>
          <w:rtl/>
        </w:rPr>
        <w:t>یی</w:t>
      </w:r>
      <w:r w:rsidRPr="0092648A">
        <w:rPr>
          <w:rStyle w:val="Char8"/>
          <w:rFonts w:hint="cs"/>
          <w:rtl/>
        </w:rPr>
        <w:t>ن جاو</w:t>
      </w:r>
      <w:r w:rsidR="008C7124">
        <w:rPr>
          <w:rStyle w:val="Char8"/>
          <w:rFonts w:hint="cs"/>
          <w:rtl/>
        </w:rPr>
        <w:t>ی</w:t>
      </w:r>
      <w:r w:rsidRPr="0092648A">
        <w:rPr>
          <w:rStyle w:val="Char8"/>
          <w:rFonts w:hint="cs"/>
          <w:rtl/>
        </w:rPr>
        <w:t>دان</w:t>
      </w:r>
      <w:r w:rsidRPr="0092648A">
        <w:rPr>
          <w:rStyle w:val="Char"/>
          <w:rFonts w:hint="cs"/>
          <w:rtl/>
        </w:rPr>
        <w:t xml:space="preserve">» [الشريعة الخالدة]، وطبعه مع مقدمة عليه، سنة 1330 هـ.ش[1951م]، ثم أعاد طباعته ثانيةً سنة 1336 هـ.ش [1957م]. كتب على غلاف المجلد الثاني لهذا الكتاب بيتان (بالفارسية وترجمتهما): (إن لم تكن تصدق بمعجزة شق القمر التي قام بها أحمد فانظر إلى هذا الكتاب لترى شق القمر بقلم الخالصي المستطاب). كان ذلك الكتاب من المؤلفات البديعة للخالصي التي </w:t>
      </w:r>
      <w:r w:rsidRPr="0092648A">
        <w:rPr>
          <w:rStyle w:val="Char"/>
          <w:rFonts w:hint="cs"/>
          <w:rtl/>
        </w:rPr>
        <w:lastRenderedPageBreak/>
        <w:t>سعى فيها إلى بيان فلسفة الأحكام الشرعية استنادًا إلى الآثار والفوائد الاجتماعية والاكتشافات العلمية الحديثة. وابتدأ ذلك من الأعمال التي توازي المطهرات في الإسلام إلى حدٍّ ما، ثم شمل بالطبع معظم الأبواب الفقهية والأخلاقية.</w:t>
      </w:r>
    </w:p>
    <w:p w:rsidR="00DA6CFB" w:rsidRPr="0092648A" w:rsidRDefault="00DA6CFB" w:rsidP="001809AD">
      <w:pPr>
        <w:widowControl w:val="0"/>
        <w:spacing w:line="216" w:lineRule="auto"/>
        <w:ind w:firstLine="284"/>
        <w:jc w:val="both"/>
        <w:rPr>
          <w:rStyle w:val="Char"/>
          <w:rtl/>
        </w:rPr>
      </w:pPr>
      <w:r w:rsidRPr="0092648A">
        <w:rPr>
          <w:rStyle w:val="Char"/>
          <w:rFonts w:hint="cs"/>
          <w:rtl/>
        </w:rPr>
        <w:t>كانت أغلب أعمال قلمداران الدينية في تلك الفترة ترجمته لمؤلفات الشيخ الخالصي. وفي إشارةٍ منه إلى الجهد البالغ الذي بذله للعثور على الحقيقة بين آلاف الكتب، قال قلمداران في مقدمته على المجلد الثالث لكتاب «</w:t>
      </w:r>
      <w:r w:rsidRPr="0092648A">
        <w:rPr>
          <w:rStyle w:val="Char8"/>
          <w:rFonts w:hint="cs"/>
          <w:rtl/>
        </w:rPr>
        <w:t>آ</w:t>
      </w:r>
      <w:r w:rsidR="008C7124">
        <w:rPr>
          <w:rStyle w:val="Char8"/>
          <w:rFonts w:hint="cs"/>
          <w:rtl/>
        </w:rPr>
        <w:t>یی</w:t>
      </w:r>
      <w:r w:rsidRPr="0092648A">
        <w:rPr>
          <w:rStyle w:val="Char8"/>
          <w:rFonts w:hint="cs"/>
          <w:rtl/>
        </w:rPr>
        <w:t>ن جاو</w:t>
      </w:r>
      <w:r w:rsidR="008C7124">
        <w:rPr>
          <w:rStyle w:val="Char8"/>
          <w:rFonts w:hint="cs"/>
          <w:rtl/>
        </w:rPr>
        <w:t>ی</w:t>
      </w:r>
      <w:r w:rsidRPr="0092648A">
        <w:rPr>
          <w:rStyle w:val="Char8"/>
          <w:rFonts w:hint="cs"/>
          <w:rtl/>
        </w:rPr>
        <w:t>دان</w:t>
      </w:r>
      <w:r w:rsidRPr="0092648A">
        <w:rPr>
          <w:rStyle w:val="Char"/>
          <w:rFonts w:hint="cs"/>
          <w:rtl/>
        </w:rPr>
        <w:t>» [الشريعة الخالدة]، تحت عنوان «لماذا اخترت مؤلفات العلامة الخالصي؟»: «في نهاية المطاف كانت المؤلفات الخالدة والقَيِّمَة للعلامة الكبير ونابغة العصر، المجاهد العاشق لطريق الله والمتحمل في هذا السبيل لآلاف المصائب والابتلاءات، حجة الله العظمى وآيته الكبرى الإمام الرباني المُعَظَم والمولى الأعْظَم آية الله الحاج الشيخ محمد الخالصي، هي التي أشبعت روحي وروت عطشي للحقيقة التي كنت أبحث عنها ... ومنذ ذلك اليوم الذي وجدت فيه منبع العلم والعرفان هذا ومبيِّن القرآن وشارحه... قررت بيني وبين نفسي وعاهدت الله عهداً صادقاً أن أقوم - شكراً لله على هذه النعمة العظمى التي انعم بها علي - بالإنفاق على إخواني من هذا الرزق من أرزاق الجنة، عملاً بقوله تعالى</w:t>
      </w:r>
      <w:r w:rsidR="001809AD">
        <w:rPr>
          <w:rStyle w:val="Char"/>
          <w:rFonts w:hint="cs"/>
          <w:rtl/>
        </w:rPr>
        <w:t xml:space="preserve"> </w:t>
      </w:r>
      <w:r w:rsidR="001809AD">
        <w:rPr>
          <w:rStyle w:val="Char"/>
          <w:rFonts w:cs="CTraditional Arabic" w:hint="cs"/>
          <w:rtl/>
        </w:rPr>
        <w:t>﴿</w:t>
      </w:r>
      <w:r w:rsidR="001809AD" w:rsidRPr="001809AD">
        <w:rPr>
          <w:rStyle w:val="Char1"/>
          <w:rFonts w:hint="cs"/>
          <w:rtl/>
        </w:rPr>
        <w:t>وَمِمَّا</w:t>
      </w:r>
      <w:r w:rsidR="001809AD" w:rsidRPr="001809AD">
        <w:rPr>
          <w:rStyle w:val="Char1"/>
          <w:rtl/>
        </w:rPr>
        <w:t xml:space="preserve"> </w:t>
      </w:r>
      <w:r w:rsidR="001809AD" w:rsidRPr="001809AD">
        <w:rPr>
          <w:rStyle w:val="Char1"/>
          <w:rFonts w:hint="cs"/>
          <w:rtl/>
        </w:rPr>
        <w:t>رَزَقۡنَٰهُمۡ</w:t>
      </w:r>
      <w:r w:rsidR="001809AD" w:rsidRPr="001809AD">
        <w:rPr>
          <w:rStyle w:val="Char1"/>
          <w:rtl/>
        </w:rPr>
        <w:t xml:space="preserve"> </w:t>
      </w:r>
      <w:r w:rsidR="001809AD" w:rsidRPr="001809AD">
        <w:rPr>
          <w:rStyle w:val="Char1"/>
          <w:rFonts w:hint="cs"/>
          <w:rtl/>
        </w:rPr>
        <w:t>يُنفِقُونَ</w:t>
      </w:r>
      <w:r w:rsidR="001809AD">
        <w:rPr>
          <w:rStyle w:val="Char"/>
          <w:rFonts w:ascii="Traditional Arabic" w:hAnsi="Traditional Arabic" w:cs="Traditional Arabic"/>
          <w:rtl/>
        </w:rPr>
        <w:t>﴾</w:t>
      </w:r>
      <w:r w:rsidRPr="0092648A">
        <w:rPr>
          <w:rStyle w:val="Char"/>
          <w:rFonts w:hint="cs"/>
          <w:rtl/>
        </w:rPr>
        <w:t>، ومنذ ذلك اليوم وحتى الآن قمت بترجمة خمسة كتب من مؤلفات ذلك العالِم العَلَم وهي على الترتيب كتب: المعارف المحمدية، والإسلام سبيل السعادة والسلام، وثلاثة أجزاء من كتاب أحياء الشريعة... وقمت بطباعتها ووضعتها في متناول أيدي الباحثين عن الحق وعشاق الحقيقة».</w:t>
      </w:r>
      <w:r w:rsidRPr="006E28E9">
        <w:rPr>
          <w:rStyle w:val="Char"/>
          <w:rFonts w:ascii="Arabic11 BT" w:hAnsi="Arabic11 BT" w:cs="Arabic11 BT"/>
          <w:vertAlign w:val="superscript"/>
          <w:rtl/>
        </w:rPr>
        <w:footnoteReference w:id="284"/>
      </w:r>
    </w:p>
    <w:p w:rsidR="00DA6CFB" w:rsidRPr="0092648A" w:rsidRDefault="00DA6CFB" w:rsidP="0092648A">
      <w:pPr>
        <w:widowControl w:val="0"/>
        <w:spacing w:line="216" w:lineRule="auto"/>
        <w:ind w:firstLine="284"/>
        <w:jc w:val="both"/>
        <w:rPr>
          <w:rStyle w:val="Char"/>
          <w:rtl/>
        </w:rPr>
      </w:pPr>
      <w:r w:rsidRPr="0092648A">
        <w:rPr>
          <w:rStyle w:val="Char"/>
          <w:rFonts w:hint="cs"/>
          <w:rtl/>
        </w:rPr>
        <w:t>وعلى هذا، فقد ترجم تلك الكتب الثلاثة، أي: المعارف المحمدية، و</w:t>
      </w:r>
      <w:r w:rsidRPr="008C7124">
        <w:rPr>
          <w:rStyle w:val="Char7"/>
          <w:rFonts w:hint="cs"/>
          <w:rtl/>
        </w:rPr>
        <w:t xml:space="preserve">إحياء الشريعة </w:t>
      </w:r>
      <w:r w:rsidRPr="0092648A">
        <w:rPr>
          <w:rStyle w:val="Char"/>
          <w:rFonts w:hint="cs"/>
          <w:rtl/>
        </w:rPr>
        <w:t>(الذي ترجمه تحت عنوان "</w:t>
      </w:r>
      <w:r w:rsidRPr="0092648A">
        <w:rPr>
          <w:rStyle w:val="Char8"/>
          <w:rFonts w:hint="cs"/>
          <w:rtl/>
        </w:rPr>
        <w:t>آ</w:t>
      </w:r>
      <w:r w:rsidR="008C7124">
        <w:rPr>
          <w:rStyle w:val="Char8"/>
          <w:rFonts w:hint="cs"/>
          <w:rtl/>
        </w:rPr>
        <w:t>یی</w:t>
      </w:r>
      <w:r w:rsidRPr="0092648A">
        <w:rPr>
          <w:rStyle w:val="Char8"/>
          <w:rFonts w:hint="cs"/>
          <w:rtl/>
        </w:rPr>
        <w:t>ن جاو</w:t>
      </w:r>
      <w:r w:rsidR="008C7124">
        <w:rPr>
          <w:rStyle w:val="Char8"/>
          <w:rFonts w:hint="cs"/>
          <w:rtl/>
        </w:rPr>
        <w:t>ی</w:t>
      </w:r>
      <w:r w:rsidRPr="0092648A">
        <w:rPr>
          <w:rStyle w:val="Char8"/>
          <w:rFonts w:hint="cs"/>
          <w:rtl/>
        </w:rPr>
        <w:t>دان</w:t>
      </w:r>
      <w:r w:rsidRPr="0092648A">
        <w:rPr>
          <w:rStyle w:val="Char"/>
          <w:rFonts w:hint="cs"/>
          <w:rtl/>
        </w:rPr>
        <w:t>" [أي الشريعة الخالدة] في ثلاثة مجلدات)، و</w:t>
      </w:r>
      <w:r w:rsidRPr="008C7124">
        <w:rPr>
          <w:rStyle w:val="Char7"/>
          <w:rFonts w:hint="cs"/>
          <w:rtl/>
        </w:rPr>
        <w:t>الإسلام سبيل السعادة والسلام</w:t>
      </w:r>
      <w:r w:rsidRPr="0092648A">
        <w:rPr>
          <w:rStyle w:val="Char"/>
          <w:rFonts w:hint="cs"/>
          <w:rtl/>
        </w:rPr>
        <w:t xml:space="preserve">، كما ترجم إلى الفارسية أيضًا كتاباً رابعاً للشيخ الخالصي هو كتاب </w:t>
      </w:r>
      <w:r w:rsidRPr="0092648A">
        <w:rPr>
          <w:rStyle w:val="Char8"/>
          <w:rFonts w:hint="cs"/>
          <w:rtl/>
        </w:rPr>
        <w:t>الجمع</w:t>
      </w:r>
      <w:r w:rsidR="008C7124">
        <w:rPr>
          <w:rStyle w:val="Char8"/>
          <w:rFonts w:hint="cs"/>
          <w:rtl/>
        </w:rPr>
        <w:t>ۀ</w:t>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نشرت مجلة وظيفه الأسبوعية، التي دافعت في يوم من الأيام عن الشيخ الخالصي، مقالات لقلمداران حول ترجمته لكتاب الجمعة للخالصي، وتضمنَّت تلك المقالات أيضًا بعض الأبحاث المتعلقة بالحكومة الدينية، ثم طُبِعَت تلك المقالات في كتاب مستقلٍّ واحد عنوانه: </w:t>
      </w:r>
      <w:r w:rsidRPr="0092648A">
        <w:rPr>
          <w:rStyle w:val="Char8"/>
          <w:rFonts w:hint="cs"/>
          <w:rtl/>
        </w:rPr>
        <w:t>ارمغان آسمان</w:t>
      </w:r>
      <w:r w:rsidRPr="0092648A">
        <w:rPr>
          <w:rStyle w:val="Char"/>
          <w:rFonts w:hint="cs"/>
          <w:rtl/>
        </w:rPr>
        <w:t xml:space="preserve"> [هدية السماء]. في تقديمه للكتاب الأخير أشاد المرحوم الخالصي بقلمداران واصفاً إياه بالكلمات التالية: «في عصر غفلة المسلمين وتجاهلهم... قام قلمداران بنشر هذه الحقائق بكل شجاعة وبسالة </w:t>
      </w:r>
      <w:r w:rsidRPr="0092648A">
        <w:rPr>
          <w:rStyle w:val="Char"/>
          <w:rFonts w:hint="cs"/>
          <w:rtl/>
        </w:rPr>
        <w:lastRenderedPageBreak/>
        <w:t xml:space="preserve">ودون أي خوف أو وجل». كما ترجم قلمداران كتاب </w:t>
      </w:r>
      <w:r w:rsidRPr="008C7124">
        <w:rPr>
          <w:rStyle w:val="Char7"/>
          <w:rFonts w:hint="cs"/>
          <w:rtl/>
        </w:rPr>
        <w:t>إحياء الشريعة</w:t>
      </w:r>
      <w:r w:rsidRPr="0092648A">
        <w:rPr>
          <w:rStyle w:val="Char"/>
          <w:rFonts w:hint="cs"/>
          <w:rtl/>
        </w:rPr>
        <w:t xml:space="preserve"> للخالصي الذي يقع في ثلاثة مجلدات (وكان رسالة عملية فقهية للشيخ الخالصي) إلى اللغة الفارسية وطبعها في السنوات 1330 و1336 و1337 هـ.ش. كما قام قلمداران بترجمة رسالة صغيرة للشيخ الخالصي عنوانها «</w:t>
      </w:r>
      <w:r w:rsidRPr="008C7124">
        <w:rPr>
          <w:rStyle w:val="Char7"/>
          <w:rFonts w:hint="cs"/>
          <w:rtl/>
        </w:rPr>
        <w:t>شرر فتنة الجهل في إيران</w:t>
      </w:r>
      <w:r w:rsidRPr="0092648A">
        <w:rPr>
          <w:rStyle w:val="Char"/>
          <w:rFonts w:hint="cs"/>
          <w:rtl/>
        </w:rPr>
        <w:t>» إلى الفارسية وطبعها سنة 1344 هـ.ش [1965م]، برفقة إحدى مقالاته الأخرى التي حملت عنوان «</w:t>
      </w:r>
      <w:r w:rsidRPr="0092648A">
        <w:rPr>
          <w:rStyle w:val="Char8"/>
          <w:rFonts w:hint="cs"/>
          <w:rtl/>
        </w:rPr>
        <w:t>آ</w:t>
      </w:r>
      <w:r w:rsidR="008C7124">
        <w:rPr>
          <w:rStyle w:val="Char8"/>
          <w:rFonts w:hint="cs"/>
          <w:rtl/>
        </w:rPr>
        <w:t>ی</w:t>
      </w:r>
      <w:r w:rsidRPr="0092648A">
        <w:rPr>
          <w:rStyle w:val="Char8"/>
          <w:rFonts w:hint="cs"/>
          <w:rtl/>
        </w:rPr>
        <w:t>ا ا</w:t>
      </w:r>
      <w:r w:rsidR="008C7124">
        <w:rPr>
          <w:rStyle w:val="Char8"/>
          <w:rFonts w:hint="cs"/>
          <w:rtl/>
        </w:rPr>
        <w:t>ی</w:t>
      </w:r>
      <w:r w:rsidRPr="0092648A">
        <w:rPr>
          <w:rStyle w:val="Char8"/>
          <w:rFonts w:hint="cs"/>
          <w:rtl/>
        </w:rPr>
        <w:t>نان مسلمانند</w:t>
      </w:r>
      <w:r w:rsidRPr="0092648A">
        <w:rPr>
          <w:rStyle w:val="Char"/>
          <w:rFonts w:hint="cs"/>
          <w:rtl/>
        </w:rPr>
        <w:t>؟» [أي هل أولئك مسلمون؟]. إضافةً إلى ذلك نشر قلمداران في مجلة وظيفة مقالاً له تحت عنوان «انحطاط مسلمين وچاره آن» [انحطاط المسلمين وطريق علاجه].</w:t>
      </w:r>
      <w:r w:rsidRPr="006E28E9">
        <w:rPr>
          <w:rStyle w:val="Char"/>
          <w:rFonts w:ascii="Arabic11 BT" w:hAnsi="Arabic11 BT" w:cs="Arabic11 BT"/>
          <w:vertAlign w:val="superscript"/>
          <w:rtl/>
        </w:rPr>
        <w:footnoteReference w:id="285"/>
      </w:r>
    </w:p>
    <w:p w:rsidR="00DA6CFB" w:rsidRPr="001809AD" w:rsidRDefault="00DA6CFB" w:rsidP="0092648A">
      <w:pPr>
        <w:widowControl w:val="0"/>
        <w:spacing w:line="216" w:lineRule="auto"/>
        <w:ind w:firstLine="284"/>
        <w:jc w:val="both"/>
        <w:rPr>
          <w:rStyle w:val="Char"/>
          <w:spacing w:val="-4"/>
          <w:rtl/>
        </w:rPr>
      </w:pPr>
      <w:r w:rsidRPr="001809AD">
        <w:rPr>
          <w:rStyle w:val="Char"/>
          <w:rFonts w:hint="cs"/>
          <w:spacing w:val="-4"/>
          <w:rtl/>
        </w:rPr>
        <w:t xml:space="preserve">كان الاتجاه الأول لكتابات قلمداران هو العمل على إحياء الحضارة الإسلامية وتحليل علل وأسباب انحطاط المسلمين. وربما كان هذا هو الجو الذي لفت اهتمامه نحو الإصلاح والتصحيح، وكان ذلك الإصلاح في نظره -حيث كان يعيش في جو إيران الشيعية- يقتصر على إصلاح التشيع. وعندما بدأ يخطو في هذا الاتجاه كان من الطبيعي أن ينظر إلى التجارب السابقة له في هذا المجال، فتابع خط شريعت سنگلجي والأهم منه خط السيد أسد الله خرقاني والشيخ الخالصي و واصل طريقهم. وقد ساقه الدخول إلى هذه الورطة نحو الموضع الذي سيق إليه قبله كسروي وحكمي زاده وكانوا قد قطعوا فيها شوطاً كبيراً. فقلمداران الذي قيل إنه كان قد كتب في شبابه مقالاً في نقد كتاب </w:t>
      </w:r>
      <w:r w:rsidRPr="008C7124">
        <w:rPr>
          <w:rStyle w:val="Char7"/>
          <w:rFonts w:hint="cs"/>
          <w:rtl/>
        </w:rPr>
        <w:t>أسرار ألف عام</w:t>
      </w:r>
      <w:r w:rsidRPr="001809AD">
        <w:rPr>
          <w:rStyle w:val="Char"/>
          <w:rFonts w:hint="cs"/>
          <w:spacing w:val="-4"/>
          <w:rtl/>
        </w:rPr>
        <w:t xml:space="preserve"> [لحكمي زاده]، وصل في نهاية المطاف إلى النتيجة والموقف ذاته الذي كان قد انتقده قديماً! هذا على الرغم من أنه لم يفقد أبداً أصل تديُّنه بالإسلام وبمذهب التشيع. في الحقيقة كان قلمداران معتقداً ومؤمناً بشكل واضح وجليّ بالإسلام بل كان ذا تعصّب خاصٍّ في هذا المجال لاسيما في موضوع ضرورة تطبيق أحكام الشريعة الإسلامية، هذا بالتزامن مع اتجاهاته الإصلاحية الشديدة والحادّة، وهذا الأمر يمكننا أن نلاحظه كَسِمَة عامَّة لنمط الإصلاحيين ودعاة التصحيح ذوي الاتجاه الوهابي. في هذا الاتجاه نجد الإصلاح متأثراً </w:t>
      </w:r>
      <w:r w:rsidRPr="001809AD">
        <w:rPr>
          <w:rStyle w:val="Char"/>
          <w:rFonts w:hint="cs"/>
          <w:spacing w:val="-4"/>
          <w:rtl/>
        </w:rPr>
        <w:lastRenderedPageBreak/>
        <w:t>بالاهتمام بالسنة والتقليد من جهة، وبالتحديث والعصرنة من الجهة الأخرى، وهو أمر يعكس وجود تناقض بنيوي في فكر هؤلاء الأفراد.</w:t>
      </w:r>
    </w:p>
    <w:p w:rsidR="00DA6CFB" w:rsidRPr="0092648A" w:rsidRDefault="00DA6CFB" w:rsidP="0092648A">
      <w:pPr>
        <w:widowControl w:val="0"/>
        <w:spacing w:line="216" w:lineRule="auto"/>
        <w:ind w:firstLine="284"/>
        <w:jc w:val="both"/>
        <w:rPr>
          <w:rStyle w:val="Char"/>
          <w:rtl/>
        </w:rPr>
      </w:pPr>
      <w:r w:rsidRPr="0092648A">
        <w:rPr>
          <w:rStyle w:val="Char"/>
          <w:rFonts w:hint="cs"/>
          <w:rtl/>
        </w:rPr>
        <w:t>ابتدأ قلمداران عمله الإصلاحي بنقد الاتجاهات المغالية لدى الشيعة وألف كتابه «</w:t>
      </w:r>
      <w:r w:rsidRPr="0092648A">
        <w:rPr>
          <w:rStyle w:val="Char8"/>
          <w:rFonts w:hint="cs"/>
          <w:rtl/>
        </w:rPr>
        <w:t>راه نجات از شر غلات</w:t>
      </w:r>
      <w:r w:rsidRPr="0092648A">
        <w:rPr>
          <w:rStyle w:val="Char"/>
          <w:rFonts w:hint="cs"/>
          <w:rtl/>
        </w:rPr>
        <w:t>» [طريق النجاة من شر الغلاة] الذي بحث فيه موضوع علم الإمام، والولاية، والشفاعة، والغلو، وزيارة [المشاهد والقبور]. ثم ألف كتاباً حول «الخُمس» ونحا فيه منحى مخالفًا للعقيدة الفقهية المقبولة لدى الشيعة [الإمامية]، شأنه في ذلك شأن كتابات الأفراد الآخرين من رموز هذا التيار التصحيحي. وقام بنشر هذا الكتاب بصورة نسخ ضوئية.</w:t>
      </w:r>
      <w:r w:rsidRPr="006E28E9">
        <w:rPr>
          <w:rStyle w:val="Char"/>
          <w:rFonts w:ascii="Arabic11 BT" w:hAnsi="Arabic11 BT" w:cs="Arabic11 BT"/>
          <w:vertAlign w:val="superscript"/>
          <w:rtl/>
        </w:rPr>
        <w:footnoteReference w:id="286"/>
      </w:r>
      <w:r w:rsidRPr="0092648A">
        <w:rPr>
          <w:rStyle w:val="Char"/>
          <w:rFonts w:hint="cs"/>
          <w:rtl/>
        </w:rPr>
        <w:t xml:space="preserve"> والكتاب الآخر لقلمداران كان كتابه «</w:t>
      </w:r>
      <w:r w:rsidRPr="0092648A">
        <w:rPr>
          <w:rStyle w:val="Char8"/>
          <w:rFonts w:hint="cs"/>
          <w:rtl/>
        </w:rPr>
        <w:t>ز</w:t>
      </w:r>
      <w:r w:rsidR="008C7124">
        <w:rPr>
          <w:rStyle w:val="Char8"/>
          <w:rFonts w:hint="cs"/>
          <w:rtl/>
        </w:rPr>
        <w:t>ی</w:t>
      </w:r>
      <w:r w:rsidRPr="0092648A">
        <w:rPr>
          <w:rStyle w:val="Char8"/>
          <w:rFonts w:hint="cs"/>
          <w:rtl/>
        </w:rPr>
        <w:t>ارت و ز</w:t>
      </w:r>
      <w:r w:rsidR="008C7124">
        <w:rPr>
          <w:rStyle w:val="Char8"/>
          <w:rFonts w:hint="cs"/>
          <w:rtl/>
        </w:rPr>
        <w:t>ی</w:t>
      </w:r>
      <w:r w:rsidRPr="0092648A">
        <w:rPr>
          <w:rStyle w:val="Char8"/>
          <w:rFonts w:hint="cs"/>
          <w:rtl/>
        </w:rPr>
        <w:t>ارتنامه</w:t>
      </w:r>
      <w:r w:rsidRPr="0092648A">
        <w:rPr>
          <w:rStyle w:val="Char"/>
          <w:rFonts w:hint="cs"/>
          <w:rtl/>
        </w:rPr>
        <w:t>» [أي الزيارة وأدعية الزيارات] الذي لم يُطبَع وإنما أُخِذَت منه عديد من الصور المُسْتَنْسَخة تحمل عنوان «</w:t>
      </w:r>
      <w:r w:rsidRPr="001809AD">
        <w:rPr>
          <w:rStyle w:val="Char7"/>
          <w:rFonts w:hint="cs"/>
          <w:rtl/>
        </w:rPr>
        <w:t>الفصل الخامس من كتاب طريق النجاة من شر الغلاة</w:t>
      </w:r>
      <w:r w:rsidRPr="0092648A">
        <w:rPr>
          <w:rStyle w:val="Char"/>
          <w:rFonts w:hint="cs"/>
          <w:rtl/>
        </w:rPr>
        <w:t>». لقد بين هذا الكتاب عقائد الوهابيين المعروفة والرائجة في باب زيارة القبور وسعى من خلال الاستفادة من النصوص المختلفة إلى بيان أدلة هذا المشرب والموقف. كان قلمداران في ذلك الوقت أيضًا على اتصال بمصطفى الحسيني الطباطبائي وبأبي الفضل البرقعي، وكان البرقعي قد تأثر أيضًا - كما ذكر في مذكراته - بكتاب قلمداران «</w:t>
      </w:r>
      <w:r w:rsidRPr="0092648A">
        <w:rPr>
          <w:rStyle w:val="Char8"/>
          <w:rFonts w:hint="cs"/>
          <w:rtl/>
        </w:rPr>
        <w:t>راه نجات از شر غلات</w:t>
      </w:r>
      <w:r w:rsidRPr="0092648A">
        <w:rPr>
          <w:rStyle w:val="Char"/>
          <w:rFonts w:hint="cs"/>
          <w:rtl/>
        </w:rPr>
        <w:t>». وقام البرقعي بكتابة مقدمة وحواشي على كتاب قلمداران الآخر «</w:t>
      </w:r>
      <w:r w:rsidRPr="0092648A">
        <w:rPr>
          <w:rStyle w:val="Char8"/>
          <w:rFonts w:hint="cs"/>
          <w:rtl/>
        </w:rPr>
        <w:t>شاهراه اتحاد</w:t>
      </w:r>
      <w:r w:rsidRPr="0092648A">
        <w:rPr>
          <w:rStyle w:val="Char"/>
          <w:rFonts w:hint="cs"/>
          <w:rtl/>
        </w:rPr>
        <w:t>» (أي طريق الاتحاد الواسع). و ذكر أبو الفضل البرقعي [في مذكراته] شرحاً لاعتراض بعض طلاب العلوم الدينية في قم على قلمداران ومخالفتهم له بعد انتصار الثورة في إيران، وأشار إلى قضية محاولة اغتياله وإطلاق النار عليه وإصابته بجروح.</w:t>
      </w:r>
      <w:r w:rsidRPr="006E28E9">
        <w:rPr>
          <w:rStyle w:val="Char"/>
          <w:rFonts w:ascii="Arabic11 BT" w:hAnsi="Arabic11 BT" w:cs="Arabic11 BT"/>
          <w:vertAlign w:val="superscript"/>
          <w:rtl/>
        </w:rPr>
        <w:footnoteReference w:id="287"/>
      </w:r>
    </w:p>
    <w:p w:rsidR="00DA6CFB" w:rsidRPr="0092648A" w:rsidRDefault="00DA6CFB" w:rsidP="0092648A">
      <w:pPr>
        <w:widowControl w:val="0"/>
        <w:spacing w:line="216" w:lineRule="auto"/>
        <w:ind w:firstLine="284"/>
        <w:jc w:val="both"/>
        <w:rPr>
          <w:rStyle w:val="Char"/>
          <w:rtl/>
        </w:rPr>
      </w:pPr>
      <w:r w:rsidRPr="0092648A">
        <w:rPr>
          <w:rStyle w:val="Char"/>
          <w:rFonts w:hint="cs"/>
          <w:rtl/>
        </w:rPr>
        <w:t>تعتمد نظرة أتباع هذا التيار إلى مفهوم الإمامة عادةً على تفسير نصوص الإمامة وتأويلها بشكل آخر مختلف عن تفسير علماء الشيعة الإمامية لها، وعقيدة أتباع هذا التيار بالإمامة وبأهميتها أقل حتى من عقيدة الشيعة الزيدية في هذا الأمر. وقد كتب قلمداران في هذا الموضوع كتابه «</w:t>
      </w:r>
      <w:r w:rsidRPr="0092648A">
        <w:rPr>
          <w:rStyle w:val="Char8"/>
          <w:rFonts w:hint="cs"/>
          <w:rtl/>
        </w:rPr>
        <w:t>شاهراه اتحاد در بررسى نصوص امامت</w:t>
      </w:r>
      <w:r w:rsidRPr="0092648A">
        <w:rPr>
          <w:rStyle w:val="Char"/>
          <w:rFonts w:hint="cs"/>
          <w:rtl/>
        </w:rPr>
        <w:t>» [أي: طريق الاتحاد الواسع في دراسة نصوص الإمامة]،</w:t>
      </w:r>
      <w:r w:rsidRPr="006E28E9">
        <w:rPr>
          <w:rStyle w:val="Char"/>
          <w:rFonts w:ascii="Arabic11 BT" w:hAnsi="Arabic11 BT" w:cs="Arabic11 BT"/>
          <w:vertAlign w:val="superscript"/>
          <w:rtl/>
        </w:rPr>
        <w:footnoteReference w:id="288"/>
      </w:r>
      <w:r w:rsidRPr="0092648A">
        <w:rPr>
          <w:rStyle w:val="Char"/>
          <w:rFonts w:hint="cs"/>
          <w:rtl/>
        </w:rPr>
        <w:t xml:space="preserve"> وقد طُبِع الكتاب </w:t>
      </w:r>
      <w:r w:rsidRPr="0092648A">
        <w:rPr>
          <w:rStyle w:val="Char"/>
          <w:rFonts w:hint="cs"/>
          <w:rtl/>
        </w:rPr>
        <w:lastRenderedPageBreak/>
        <w:t>مع مقدمة وحواشي أبي الفضل البرقعي، الذي كان يتحرك في هذا الخط بنحو أعمق بكثير من قلمداران إلى درجة تحوُّلِهِ - أي البرقعي - في أواخر عمره إلى سُنِّـيٍّ متطرِّف ووهَّابِيٍّ. وقد نُشِر كتاب «</w:t>
      </w:r>
      <w:r w:rsidRPr="0092648A">
        <w:rPr>
          <w:rStyle w:val="Char8"/>
          <w:rFonts w:hint="cs"/>
          <w:rtl/>
        </w:rPr>
        <w:t>شاهراه اتحاد</w:t>
      </w:r>
      <w:r w:rsidRPr="0092648A">
        <w:rPr>
          <w:rStyle w:val="Char"/>
          <w:rFonts w:hint="cs"/>
          <w:rtl/>
        </w:rPr>
        <w:t>»</w:t>
      </w:r>
      <w:r w:rsidRPr="0092648A">
        <w:rPr>
          <w:rStyle w:val="Char8"/>
          <w:rFonts w:hint="cs"/>
          <w:rtl/>
        </w:rPr>
        <w:t xml:space="preserve"> </w:t>
      </w:r>
      <w:r w:rsidRPr="0092648A">
        <w:rPr>
          <w:rStyle w:val="Char"/>
          <w:rFonts w:hint="cs"/>
          <w:rtl/>
        </w:rPr>
        <w:t>من خلال استنساخ صور ضوئية عنه أيضًا. على سبيل المثال سعى قلمداران في الصفحات 86 - 87 من هذا الكتاب إلى إخراج كلمة «</w:t>
      </w:r>
      <w:r w:rsidRPr="0092648A">
        <w:rPr>
          <w:rStyle w:val="Char8"/>
          <w:rFonts w:hint="cs"/>
          <w:rtl/>
        </w:rPr>
        <w:t>مولى</w:t>
      </w:r>
      <w:r w:rsidRPr="0092648A">
        <w:rPr>
          <w:rStyle w:val="Char"/>
          <w:rFonts w:hint="cs"/>
          <w:rtl/>
        </w:rPr>
        <w:t>» التي وردت في حديث الغدير عن معنى «</w:t>
      </w:r>
      <w:r w:rsidRPr="0092648A">
        <w:rPr>
          <w:rStyle w:val="Char8"/>
          <w:rFonts w:hint="cs"/>
          <w:rtl/>
        </w:rPr>
        <w:t>الأولى بالتصرف</w:t>
      </w:r>
      <w:r w:rsidRPr="0092648A">
        <w:rPr>
          <w:rStyle w:val="Char"/>
          <w:rFonts w:hint="cs"/>
          <w:rtl/>
        </w:rPr>
        <w:t>»، كما يفعل أهل السنة. في تلك الفترة ذاتها نُشِر كتاب تحت عنوان «</w:t>
      </w:r>
      <w:r w:rsidRPr="0092648A">
        <w:rPr>
          <w:rStyle w:val="Char8"/>
          <w:rFonts w:hint="cs"/>
          <w:rtl/>
        </w:rPr>
        <w:t>ضرب شمش</w:t>
      </w:r>
      <w:r w:rsidR="008C7124">
        <w:rPr>
          <w:rStyle w:val="Char8"/>
          <w:rFonts w:hint="cs"/>
          <w:rtl/>
        </w:rPr>
        <w:t>ی</w:t>
      </w:r>
      <w:r w:rsidRPr="0092648A">
        <w:rPr>
          <w:rStyle w:val="Char8"/>
          <w:rFonts w:hint="cs"/>
          <w:rtl/>
        </w:rPr>
        <w:t>ر بر من</w:t>
      </w:r>
      <w:r w:rsidR="008C7124">
        <w:rPr>
          <w:rStyle w:val="Char8"/>
          <w:rFonts w:hint="cs"/>
          <w:rtl/>
        </w:rPr>
        <w:t>ک</w:t>
      </w:r>
      <w:r w:rsidRPr="0092648A">
        <w:rPr>
          <w:rStyle w:val="Char8"/>
          <w:rFonts w:hint="cs"/>
          <w:rtl/>
        </w:rPr>
        <w:t>ر غد</w:t>
      </w:r>
      <w:r w:rsidR="008C7124">
        <w:rPr>
          <w:rStyle w:val="Char8"/>
          <w:rFonts w:hint="cs"/>
          <w:rtl/>
        </w:rPr>
        <w:t>ی</w:t>
      </w:r>
      <w:r w:rsidRPr="0092648A">
        <w:rPr>
          <w:rStyle w:val="Char8"/>
          <w:rFonts w:hint="cs"/>
          <w:rtl/>
        </w:rPr>
        <w:t>ر</w:t>
      </w:r>
      <w:r w:rsidRPr="0092648A">
        <w:rPr>
          <w:rStyle w:val="Char"/>
          <w:rFonts w:hint="cs"/>
          <w:rtl/>
        </w:rPr>
        <w:t>» [أي: ضرب السيف على منكر حديث الغدير] ألفه آية الله المحلاتي، فردَّ قلمداران عليه في رسالة عَنْوَنَها بـ: «</w:t>
      </w:r>
      <w:r w:rsidRPr="0092648A">
        <w:rPr>
          <w:rStyle w:val="Char8"/>
          <w:rFonts w:hint="cs"/>
          <w:rtl/>
        </w:rPr>
        <w:t xml:space="preserve">پاسخ </w:t>
      </w:r>
      <w:r w:rsidR="008C7124">
        <w:rPr>
          <w:rStyle w:val="Char8"/>
          <w:rFonts w:hint="cs"/>
          <w:rtl/>
        </w:rPr>
        <w:t>یک</w:t>
      </w:r>
      <w:r w:rsidRPr="0092648A">
        <w:rPr>
          <w:rStyle w:val="Char8"/>
          <w:rFonts w:hint="cs"/>
          <w:rtl/>
        </w:rPr>
        <w:t xml:space="preserve"> دهاتى به آ</w:t>
      </w:r>
      <w:r w:rsidR="008C7124">
        <w:rPr>
          <w:rStyle w:val="Char8"/>
          <w:rFonts w:hint="cs"/>
          <w:rtl/>
        </w:rPr>
        <w:t>ی</w:t>
      </w:r>
      <w:r w:rsidRPr="0092648A">
        <w:rPr>
          <w:rStyle w:val="Char8"/>
          <w:rFonts w:hint="cs"/>
          <w:rtl/>
        </w:rPr>
        <w:t>ت الله محلاتى</w:t>
      </w:r>
      <w:r w:rsidRPr="0092648A">
        <w:rPr>
          <w:rStyle w:val="Char"/>
          <w:rFonts w:hint="cs"/>
          <w:rtl/>
        </w:rPr>
        <w:t xml:space="preserve">» [ردُّ رجل قروي على آية الله المحلاتي]. </w:t>
      </w:r>
    </w:p>
    <w:p w:rsidR="00DA6CFB" w:rsidRDefault="00DA6CFB" w:rsidP="0092648A">
      <w:pPr>
        <w:widowControl w:val="0"/>
        <w:spacing w:line="216" w:lineRule="auto"/>
        <w:ind w:firstLine="284"/>
        <w:jc w:val="both"/>
        <w:rPr>
          <w:rFonts w:cs="Times New Roman"/>
          <w:rtl/>
          <w:lang w:bidi="ar-SY"/>
        </w:rPr>
      </w:pPr>
      <w:r w:rsidRPr="0092648A">
        <w:rPr>
          <w:rStyle w:val="Char"/>
          <w:rFonts w:hint="cs"/>
          <w:rtl/>
        </w:rPr>
        <w:t>أحد مؤلفات قلمداران الأخرى كتابه «</w:t>
      </w:r>
      <w:r w:rsidRPr="0092648A">
        <w:rPr>
          <w:rStyle w:val="Char8"/>
          <w:rFonts w:hint="cs"/>
          <w:rtl/>
        </w:rPr>
        <w:t>ح</w:t>
      </w:r>
      <w:r w:rsidR="008C7124">
        <w:rPr>
          <w:rStyle w:val="Char8"/>
          <w:rFonts w:hint="cs"/>
          <w:rtl/>
        </w:rPr>
        <w:t>ک</w:t>
      </w:r>
      <w:r w:rsidRPr="0092648A">
        <w:rPr>
          <w:rStyle w:val="Char8"/>
          <w:rFonts w:hint="cs"/>
          <w:rtl/>
        </w:rPr>
        <w:t>ومت در اسلام</w:t>
      </w:r>
      <w:r w:rsidRPr="0092648A">
        <w:rPr>
          <w:rStyle w:val="Char"/>
          <w:rFonts w:hint="cs"/>
          <w:rtl/>
        </w:rPr>
        <w:t>» [الحكومة في الإسلام] الذي ألفه في قريته ديزيجان بعد رؤيته لحلم سنة 1343 هـ.ش فألف الكتاب وطبعه صيف عام 1344 هـ.ش [1965م]. أُلِّف ذلك الكتاب بعد حوادث 15 خرداد الدموية في إيران، ويمكننا أن نعتبره بشكل عام متأثراً بذلك الجو، لكن تلك الحادثة لم تنعكس في هذا الكتاب، هذا بالإضافة إلى أنه لا يبدو أن المصادر الفكرية - السياسية لقلمداران لها أي صلة بالمرجعية الشيعية وعلماء الدين الشيعة [التقليديين]؛ فهو لم يكن من الأساس يؤمن بالإسلام الحوزوي. نقل قلمداران في هذا الكتاب ثلاث مرات فقط كلاماً لآية الله الخميني من كتابه المكاسب المحرمة حول موضوعٍ يؤيد ما يقول به قلمداران، ولم يُشِر فيه مطلقاً إلى حركة 15 خرداد. لقد كان كتابه الحكومة الإسلامية متأثّراً بشكل رئيسي بآراء الإسلام الثوري-الاجتماعي المصري والإخواني.</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إضافةً إلى ما نقله المؤلف في الكتاب من المصادر الحديثية والفقهية القديمة الشيعية والسنية، من نصوص تؤيد وجهات نظره وما يطرحه في الكتاب من أفكار، فإنه كان متأثراً في كتابه هذا، بشكل خاص، بأفكار أسد الله خرقاني، إذْ نَقَلَ عنه - وخاصة عن كتابه </w:t>
      </w:r>
      <w:r w:rsidRPr="0092648A">
        <w:rPr>
          <w:rStyle w:val="Char8"/>
          <w:rFonts w:hint="cs"/>
          <w:rtl/>
        </w:rPr>
        <w:t>محو الموهوم</w:t>
      </w:r>
      <w:r w:rsidRPr="0092648A">
        <w:rPr>
          <w:rStyle w:val="Char"/>
          <w:rFonts w:hint="cs"/>
          <w:rtl/>
        </w:rPr>
        <w:t xml:space="preserve"> الذي كان يعتبره كتاباً </w:t>
      </w:r>
      <w:r w:rsidRPr="0092648A">
        <w:rPr>
          <w:rStyle w:val="Char"/>
          <w:rFonts w:hint="cs"/>
          <w:rtl/>
        </w:rPr>
        <w:lastRenderedPageBreak/>
        <w:t>لا نظير له - عديداً من المطالب بشكل متكرر، كما نقل أحيانًا عن كتاب آخر لأسد الله خرقاني وهو كتاب «</w:t>
      </w:r>
      <w:r w:rsidRPr="0092648A">
        <w:rPr>
          <w:rStyle w:val="Char8"/>
          <w:rFonts w:hint="cs"/>
          <w:rtl/>
        </w:rPr>
        <w:t>قضاء وشهادات</w:t>
      </w:r>
      <w:r w:rsidRPr="0092648A">
        <w:rPr>
          <w:rStyle w:val="Char"/>
          <w:rFonts w:hint="cs"/>
          <w:rtl/>
        </w:rPr>
        <w:t>». كما كان لأفكار الخالصي تأثير في كتابه هذا وإن كان يذكر الخالصي بشكل أقل، لكنه ينقل بشكل متكرر أموراً من كتاب الخالصي «</w:t>
      </w:r>
      <w:r w:rsidRPr="0092648A">
        <w:rPr>
          <w:rStyle w:val="Char8"/>
          <w:rFonts w:hint="cs"/>
          <w:rtl/>
        </w:rPr>
        <w:t>ارمغان آسمان</w:t>
      </w:r>
      <w:r w:rsidRPr="0092648A">
        <w:rPr>
          <w:rStyle w:val="Char"/>
          <w:rFonts w:hint="cs"/>
          <w:rtl/>
        </w:rPr>
        <w:t xml:space="preserve">» حول صلاة الجمعة حيث كان مصدر ذلك المبحث في كتابه </w:t>
      </w:r>
      <w:r w:rsidRPr="001809AD">
        <w:rPr>
          <w:rStyle w:val="Char7"/>
          <w:rFonts w:hint="cs"/>
          <w:rtl/>
        </w:rPr>
        <w:t>الحكومة الإسلامية</w:t>
      </w:r>
      <w:r w:rsidRPr="0092648A">
        <w:rPr>
          <w:rStyle w:val="Char"/>
          <w:rFonts w:hint="cs"/>
          <w:rtl/>
        </w:rPr>
        <w:t xml:space="preserve"> مستقىً من ذلك الكتاب. بالإضافة إلى ذلك اقتبس مرتين على الأقل من كتاب «</w:t>
      </w:r>
      <w:r w:rsidRPr="0092648A">
        <w:rPr>
          <w:rStyle w:val="Char8"/>
          <w:rFonts w:hint="cs"/>
          <w:rtl/>
        </w:rPr>
        <w:t>د</w:t>
      </w:r>
      <w:r w:rsidR="008C7124">
        <w:rPr>
          <w:rStyle w:val="Char8"/>
          <w:rFonts w:hint="cs"/>
          <w:rtl/>
        </w:rPr>
        <w:t>ی</w:t>
      </w:r>
      <w:r w:rsidRPr="0092648A">
        <w:rPr>
          <w:rStyle w:val="Char8"/>
          <w:rFonts w:hint="cs"/>
          <w:rtl/>
        </w:rPr>
        <w:t>ن و شؤون</w:t>
      </w:r>
      <w:r w:rsidRPr="0092648A">
        <w:rPr>
          <w:rStyle w:val="Char"/>
          <w:rFonts w:hint="cs"/>
          <w:rtl/>
        </w:rPr>
        <w:t>» لأسد الله ممقاني . في الواقع كان مبحث العمل في أجهزة الدولة وجواز أخذ الراتب من الدولة متأثّرًا بالأساس من كتاب ممقاني هذا.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لا يبدو أنه كان لكتاب قلمداران «</w:t>
      </w:r>
      <w:r w:rsidRPr="001809AD">
        <w:rPr>
          <w:rStyle w:val="Char7"/>
          <w:rFonts w:hint="cs"/>
          <w:rtl/>
        </w:rPr>
        <w:t>الحكومة في الإسلام</w:t>
      </w:r>
      <w:r w:rsidRPr="0092648A">
        <w:rPr>
          <w:rStyle w:val="Char"/>
          <w:rFonts w:hint="cs"/>
          <w:rtl/>
        </w:rPr>
        <w:t>» أثر على الصعيد الشعبي في الأفكار الثورية، ولكن يمكننا هنا أن نشير بشكل خاص إلى موردين في هذا المجال. المورد الأول أنه نُشِر في كتاب ظهر مؤخَّرًا حول قلمداران تحت عنوان «</w:t>
      </w:r>
      <w:r w:rsidR="008C7124">
        <w:rPr>
          <w:rStyle w:val="Char8"/>
          <w:rFonts w:hint="cs"/>
          <w:rtl/>
        </w:rPr>
        <w:t>ی</w:t>
      </w:r>
      <w:r w:rsidRPr="0092648A">
        <w:rPr>
          <w:rStyle w:val="Char8"/>
          <w:rFonts w:hint="cs"/>
          <w:rtl/>
        </w:rPr>
        <w:t xml:space="preserve">ادى از </w:t>
      </w:r>
      <w:r w:rsidR="008C7124">
        <w:rPr>
          <w:rStyle w:val="Char8"/>
          <w:rFonts w:hint="cs"/>
          <w:rtl/>
        </w:rPr>
        <w:t>ی</w:t>
      </w:r>
      <w:r w:rsidRPr="0092648A">
        <w:rPr>
          <w:rStyle w:val="Char8"/>
          <w:rFonts w:hint="cs"/>
          <w:rtl/>
        </w:rPr>
        <w:t>ار آمده</w:t>
      </w:r>
      <w:r w:rsidRPr="0092648A">
        <w:rPr>
          <w:rStyle w:val="Char"/>
          <w:rFonts w:hint="cs"/>
          <w:rtl/>
        </w:rPr>
        <w:t>» [ذكرى جاءت من حبيب] ادُّعِيَ فيه أن آية الله منتظري كان يُدَرِّس هذا الكتاب في أواخر العقد الرابع</w:t>
      </w:r>
      <w:r w:rsidRPr="006E28E9">
        <w:rPr>
          <w:rStyle w:val="Char"/>
          <w:rFonts w:ascii="Arabic11 BT" w:hAnsi="Arabic11 BT" w:cs="Arabic11 BT"/>
          <w:vertAlign w:val="superscript"/>
          <w:rtl/>
        </w:rPr>
        <w:footnoteReference w:id="289"/>
      </w:r>
      <w:r w:rsidRPr="0092648A">
        <w:rPr>
          <w:rStyle w:val="Char"/>
          <w:rFonts w:hint="cs"/>
          <w:rtl/>
        </w:rPr>
        <w:t xml:space="preserve"> في مدينة نجف آباد!</w:t>
      </w:r>
      <w:r w:rsidRPr="006E28E9">
        <w:rPr>
          <w:rStyle w:val="Char"/>
          <w:rFonts w:ascii="Arabic11 BT" w:hAnsi="Arabic11 BT" w:cs="Arabic11 BT"/>
          <w:vertAlign w:val="superscript"/>
          <w:rtl/>
        </w:rPr>
        <w:footnoteReference w:id="290"/>
      </w:r>
      <w:r w:rsidRPr="0092648A">
        <w:rPr>
          <w:rStyle w:val="Char"/>
          <w:rFonts w:hint="cs"/>
          <w:rtl/>
        </w:rPr>
        <w:t xml:space="preserve"> قال السيد «مهدوي راد» إنه كان مع جماعة في زيارة للسيد منتظري في مدينة خاوه في 13 شهر مرداد عام 1386 هـ.ش، وأنّهم سألوه عن هذا الموضوع، فاعتبر ذلك الكلام غير صحيح، لكنه قال: إنه أُعْجِب بالفصل المتعلق بأن الحكومة الإسلامية من ضروريات الإسلام في ذلك الكتاب، وأنه أوضح لقلمداران أن لديه إشكالات عديدة في ترجمة الروايات إلى الفارسية في كتابه ذاك. بيد أن مقارنة بعض فصول الجزء الأول من كتاب </w:t>
      </w:r>
      <w:r w:rsidRPr="0092648A">
        <w:rPr>
          <w:rStyle w:val="Char8"/>
          <w:rFonts w:hint="cs"/>
          <w:rtl/>
        </w:rPr>
        <w:t>مبانى فقهى ح</w:t>
      </w:r>
      <w:r w:rsidR="008C7124">
        <w:rPr>
          <w:rStyle w:val="Char8"/>
          <w:rFonts w:hint="cs"/>
          <w:rtl/>
        </w:rPr>
        <w:t>ک</w:t>
      </w:r>
      <w:r w:rsidRPr="0092648A">
        <w:rPr>
          <w:rStyle w:val="Char8"/>
          <w:rFonts w:hint="cs"/>
          <w:rtl/>
        </w:rPr>
        <w:t>ومت اسلامى</w:t>
      </w:r>
      <w:r w:rsidRPr="0092648A">
        <w:rPr>
          <w:rStyle w:val="Char"/>
          <w:rFonts w:hint="cs"/>
          <w:rtl/>
        </w:rPr>
        <w:t xml:space="preserve"> [الأسس الفقهية للحكومة الإسلامية] لآية الله منتظري بما جاء في كتاب </w:t>
      </w:r>
      <w:r w:rsidRPr="0092648A">
        <w:rPr>
          <w:rStyle w:val="Char8"/>
          <w:rFonts w:hint="cs"/>
          <w:rtl/>
        </w:rPr>
        <w:t>ح</w:t>
      </w:r>
      <w:r w:rsidR="008C7124">
        <w:rPr>
          <w:rStyle w:val="Char8"/>
          <w:rFonts w:hint="cs"/>
          <w:rtl/>
        </w:rPr>
        <w:t>ک</w:t>
      </w:r>
      <w:r w:rsidRPr="0092648A">
        <w:rPr>
          <w:rStyle w:val="Char8"/>
          <w:rFonts w:hint="cs"/>
          <w:rtl/>
        </w:rPr>
        <w:t>ومت در اسلام</w:t>
      </w:r>
      <w:r w:rsidRPr="0092648A">
        <w:rPr>
          <w:rStyle w:val="Char"/>
          <w:rFonts w:hint="cs"/>
          <w:rtl/>
        </w:rPr>
        <w:t xml:space="preserve"> [الحكومة في الإسلام] لقلمداران تدل على وجود هذا التأثُّر فعلًا لدى منتظري.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والمورد الآخر هو أنه ادُّعِيَ أن المهندس بازرگان استفاد كثيرًا في كتابه «</w:t>
      </w:r>
      <w:r w:rsidRPr="0092648A">
        <w:rPr>
          <w:rStyle w:val="Char8"/>
          <w:rFonts w:hint="cs"/>
          <w:rtl/>
        </w:rPr>
        <w:t>بعثت و ا</w:t>
      </w:r>
      <w:r w:rsidR="008C7124">
        <w:rPr>
          <w:rStyle w:val="Char8"/>
          <w:rFonts w:hint="cs"/>
          <w:rtl/>
        </w:rPr>
        <w:t>ی</w:t>
      </w:r>
      <w:r w:rsidRPr="0092648A">
        <w:rPr>
          <w:rStyle w:val="Char8"/>
          <w:rFonts w:hint="cs"/>
          <w:rtl/>
        </w:rPr>
        <w:t>دئولوژى</w:t>
      </w:r>
      <w:r w:rsidRPr="0092648A">
        <w:rPr>
          <w:rStyle w:val="Char"/>
          <w:rFonts w:hint="cs"/>
          <w:rtl/>
        </w:rPr>
        <w:t>» من كتاب «</w:t>
      </w:r>
      <w:r w:rsidRPr="0092648A">
        <w:rPr>
          <w:rStyle w:val="Char8"/>
          <w:rFonts w:hint="cs"/>
          <w:rtl/>
        </w:rPr>
        <w:t>ح</w:t>
      </w:r>
      <w:r w:rsidR="008C7124">
        <w:rPr>
          <w:rStyle w:val="Char8"/>
          <w:rFonts w:hint="cs"/>
          <w:rtl/>
        </w:rPr>
        <w:t>ک</w:t>
      </w:r>
      <w:r w:rsidRPr="0092648A">
        <w:rPr>
          <w:rStyle w:val="Char8"/>
          <w:rFonts w:hint="cs"/>
          <w:rtl/>
        </w:rPr>
        <w:t>ومت در اسلام</w:t>
      </w:r>
      <w:r w:rsidRPr="0092648A">
        <w:rPr>
          <w:rStyle w:val="Char"/>
          <w:rFonts w:hint="cs"/>
          <w:rtl/>
        </w:rPr>
        <w:t>» لقلمداران.</w:t>
      </w:r>
      <w:r w:rsidRPr="006E28E9">
        <w:rPr>
          <w:rStyle w:val="Char"/>
          <w:rFonts w:ascii="Arabic11 BT" w:hAnsi="Arabic11 BT" w:cs="Arabic11 BT"/>
          <w:vertAlign w:val="superscript"/>
          <w:rtl/>
        </w:rPr>
        <w:footnoteReference w:id="291"/>
      </w:r>
      <w:r w:rsidRPr="0092648A">
        <w:rPr>
          <w:rStyle w:val="Char"/>
          <w:rFonts w:hint="cs"/>
          <w:rtl/>
        </w:rPr>
        <w:t xml:space="preserve"> ومقارنة الكتابين تثبت هذا الادعاء.</w:t>
      </w:r>
    </w:p>
    <w:p w:rsidR="00DA6CFB" w:rsidRDefault="00DA6CFB" w:rsidP="0092648A">
      <w:pPr>
        <w:pStyle w:val="2"/>
        <w:rPr>
          <w:rtl/>
        </w:rPr>
      </w:pPr>
      <w:bookmarkStart w:id="31" w:name="_Toc444083818"/>
      <w:r>
        <w:rPr>
          <w:rFonts w:hint="cs"/>
          <w:rtl/>
        </w:rPr>
        <w:lastRenderedPageBreak/>
        <w:t>7. السيد أبو الفضل البرقعي</w:t>
      </w:r>
      <w:bookmarkEnd w:id="31"/>
    </w:p>
    <w:p w:rsidR="00DA6CFB" w:rsidRPr="001809AD" w:rsidRDefault="00DA6CFB" w:rsidP="00924380">
      <w:pPr>
        <w:widowControl w:val="0"/>
        <w:spacing w:line="216" w:lineRule="auto"/>
        <w:ind w:firstLine="284"/>
        <w:jc w:val="both"/>
        <w:rPr>
          <w:rStyle w:val="Char"/>
          <w:spacing w:val="-6"/>
          <w:rtl/>
        </w:rPr>
      </w:pPr>
      <w:r w:rsidRPr="001809AD">
        <w:rPr>
          <w:rStyle w:val="Char"/>
          <w:rFonts w:hint="cs"/>
          <w:spacing w:val="-6"/>
          <w:rtl/>
        </w:rPr>
        <w:t>بدأ السيد أبو الفضل البرقعي (ولد 1287 هـ.ش. وتوفي 20 مهر 1370 هـ.ش)</w:t>
      </w:r>
      <w:r w:rsidRPr="001809AD">
        <w:rPr>
          <w:rStyle w:val="Char"/>
          <w:rFonts w:ascii="Arabic11 BT" w:hAnsi="Arabic11 BT" w:cs="Arabic11 BT"/>
          <w:spacing w:val="-6"/>
          <w:vertAlign w:val="superscript"/>
          <w:rtl/>
        </w:rPr>
        <w:footnoteReference w:id="292"/>
      </w:r>
      <w:r w:rsidRPr="001809AD">
        <w:rPr>
          <w:rStyle w:val="Char"/>
          <w:rFonts w:hint="cs"/>
          <w:spacing w:val="-6"/>
          <w:rtl/>
        </w:rPr>
        <w:t xml:space="preserve"> دراسة العلوم الدينية في المدرسة الرضوية في قم، وأمضى المرحلة الأولى من دراسته الشرعية في فترة رئاسة المرحوم الحائري [للحوزة العلمية في قم]. بقي البرقعي في قم حتى نهاية الثلاثينيات</w:t>
      </w:r>
      <w:r w:rsidRPr="001809AD">
        <w:rPr>
          <w:rStyle w:val="Char"/>
          <w:rFonts w:ascii="Arabic11 BT" w:hAnsi="Arabic11 BT" w:cs="Arabic11 BT"/>
          <w:spacing w:val="-6"/>
          <w:vertAlign w:val="superscript"/>
          <w:rtl/>
        </w:rPr>
        <w:footnoteReference w:id="293"/>
      </w:r>
      <w:r w:rsidRPr="001809AD">
        <w:rPr>
          <w:rStyle w:val="Char"/>
          <w:rFonts w:hint="cs"/>
          <w:spacing w:val="-6"/>
          <w:rtl/>
        </w:rPr>
        <w:t xml:space="preserve"> عندما انتقل بحمايةٍ من آية الله الكاشاني إلى مسجد معبر «وزير دفتر» في طهران. </w:t>
      </w:r>
      <w:r w:rsidRPr="001809AD">
        <w:rPr>
          <w:rStyle w:val="Char"/>
          <w:spacing w:val="-6"/>
          <w:rtl/>
        </w:rPr>
        <w:t xml:space="preserve">خلال </w:t>
      </w:r>
      <w:r w:rsidRPr="001809AD">
        <w:rPr>
          <w:rStyle w:val="Char"/>
          <w:rFonts w:hint="cs"/>
          <w:spacing w:val="-6"/>
          <w:rtl/>
        </w:rPr>
        <w:t>تلك</w:t>
      </w:r>
      <w:r w:rsidRPr="001809AD">
        <w:rPr>
          <w:rStyle w:val="Char"/>
          <w:spacing w:val="-6"/>
          <w:rtl/>
        </w:rPr>
        <w:t xml:space="preserve"> السنوات تعاون </w:t>
      </w:r>
      <w:r w:rsidRPr="001809AD">
        <w:rPr>
          <w:rStyle w:val="Char"/>
          <w:rFonts w:hint="cs"/>
          <w:spacing w:val="-6"/>
          <w:rtl/>
        </w:rPr>
        <w:t xml:space="preserve">البرقعي </w:t>
      </w:r>
      <w:r w:rsidRPr="001809AD">
        <w:rPr>
          <w:rStyle w:val="Char"/>
          <w:spacing w:val="-6"/>
          <w:rtl/>
        </w:rPr>
        <w:t xml:space="preserve">مع </w:t>
      </w:r>
      <w:r w:rsidRPr="001809AD">
        <w:rPr>
          <w:rStyle w:val="Char"/>
          <w:rFonts w:hint="cs"/>
          <w:spacing w:val="-6"/>
          <w:rtl/>
        </w:rPr>
        <w:t xml:space="preserve">منظمة </w:t>
      </w:r>
      <w:r w:rsidRPr="001809AD">
        <w:rPr>
          <w:rStyle w:val="Char"/>
          <w:spacing w:val="-6"/>
          <w:rtl/>
        </w:rPr>
        <w:t xml:space="preserve">«فدائيان اسلام» ومع آية الله الكاشاني، وربما كان </w:t>
      </w:r>
      <w:r w:rsidRPr="001809AD">
        <w:rPr>
          <w:rStyle w:val="Char"/>
          <w:rFonts w:hint="cs"/>
          <w:spacing w:val="-6"/>
          <w:rtl/>
        </w:rPr>
        <w:t xml:space="preserve">السبب في استياء البرقعي من </w:t>
      </w:r>
      <w:r w:rsidRPr="001809AD">
        <w:rPr>
          <w:rStyle w:val="Char"/>
          <w:spacing w:val="-6"/>
          <w:rtl/>
        </w:rPr>
        <w:t xml:space="preserve">آية الله البروجردي </w:t>
      </w:r>
      <w:r w:rsidRPr="001809AD">
        <w:rPr>
          <w:rStyle w:val="Char"/>
          <w:rFonts w:hint="cs"/>
          <w:spacing w:val="-6"/>
          <w:rtl/>
        </w:rPr>
        <w:t>وسخطه عليه أن الأخير</w:t>
      </w:r>
      <w:r w:rsidRPr="001809AD">
        <w:rPr>
          <w:rStyle w:val="Char"/>
          <w:spacing w:val="-6"/>
          <w:rtl/>
        </w:rPr>
        <w:t xml:space="preserve"> لم يكن يؤي</w:t>
      </w:r>
      <w:r w:rsidRPr="001809AD">
        <w:rPr>
          <w:rStyle w:val="Char"/>
          <w:rFonts w:hint="cs"/>
          <w:spacing w:val="-6"/>
          <w:rtl/>
        </w:rPr>
        <w:t>ّ</w:t>
      </w:r>
      <w:r w:rsidRPr="001809AD">
        <w:rPr>
          <w:rStyle w:val="Char"/>
          <w:spacing w:val="-6"/>
          <w:rtl/>
        </w:rPr>
        <w:t xml:space="preserve">د رسميًّا </w:t>
      </w:r>
      <w:r w:rsidRPr="001809AD">
        <w:rPr>
          <w:rStyle w:val="Char"/>
          <w:rFonts w:hint="cs"/>
          <w:spacing w:val="-6"/>
          <w:rtl/>
        </w:rPr>
        <w:t>ال</w:t>
      </w:r>
      <w:r w:rsidRPr="001809AD">
        <w:rPr>
          <w:rStyle w:val="Char"/>
          <w:spacing w:val="-6"/>
          <w:rtl/>
        </w:rPr>
        <w:t>منهج</w:t>
      </w:r>
      <w:r w:rsidRPr="001809AD">
        <w:rPr>
          <w:rStyle w:val="Char"/>
          <w:rFonts w:hint="cs"/>
          <w:spacing w:val="-6"/>
          <w:rtl/>
        </w:rPr>
        <w:t xml:space="preserve"> السياسي لفدائيان إسلام وآية الله الكاشاني</w:t>
      </w:r>
      <w:r w:rsidRPr="001809AD">
        <w:rPr>
          <w:rStyle w:val="Char"/>
          <w:spacing w:val="-6"/>
          <w:rtl/>
        </w:rPr>
        <w:t xml:space="preserve">. </w:t>
      </w:r>
      <w:r w:rsidRPr="001809AD">
        <w:rPr>
          <w:rStyle w:val="Char"/>
          <w:rFonts w:hint="cs"/>
          <w:spacing w:val="-6"/>
          <w:rtl/>
        </w:rPr>
        <w:t>وقد ساق اشتباك البرقعي</w:t>
      </w:r>
      <w:r w:rsidRPr="001809AD">
        <w:rPr>
          <w:rStyle w:val="Char"/>
          <w:spacing w:val="-6"/>
          <w:rtl/>
        </w:rPr>
        <w:t xml:space="preserve"> </w:t>
      </w:r>
      <w:r w:rsidRPr="001809AD">
        <w:rPr>
          <w:rStyle w:val="Char"/>
          <w:rFonts w:hint="cs"/>
          <w:spacing w:val="-6"/>
          <w:rtl/>
        </w:rPr>
        <w:t>-</w:t>
      </w:r>
      <w:r w:rsidRPr="001809AD">
        <w:rPr>
          <w:rStyle w:val="Char"/>
          <w:spacing w:val="-6"/>
          <w:rtl/>
        </w:rPr>
        <w:t xml:space="preserve">في المسجد الذي يقيم </w:t>
      </w:r>
      <w:r w:rsidRPr="001809AD">
        <w:rPr>
          <w:rStyle w:val="Char"/>
          <w:rFonts w:hint="cs"/>
          <w:spacing w:val="-6"/>
          <w:rtl/>
        </w:rPr>
        <w:t>فيه- [بالعوام]</w:t>
      </w:r>
      <w:r w:rsidRPr="001809AD">
        <w:rPr>
          <w:rStyle w:val="Char"/>
          <w:spacing w:val="-6"/>
          <w:rtl/>
        </w:rPr>
        <w:t xml:space="preserve"> إلى مواجه</w:t>
      </w:r>
      <w:r w:rsidRPr="001809AD">
        <w:rPr>
          <w:rStyle w:val="Char"/>
          <w:rFonts w:hint="cs"/>
          <w:spacing w:val="-6"/>
          <w:rtl/>
        </w:rPr>
        <w:t>ته</w:t>
      </w:r>
      <w:r w:rsidRPr="001809AD">
        <w:rPr>
          <w:rStyle w:val="Char"/>
          <w:spacing w:val="-6"/>
          <w:rtl/>
        </w:rPr>
        <w:t xml:space="preserve"> تدريجيًّا </w:t>
      </w:r>
      <w:r w:rsidRPr="001809AD">
        <w:rPr>
          <w:rStyle w:val="Char"/>
          <w:rFonts w:hint="cs"/>
          <w:spacing w:val="-6"/>
          <w:rtl/>
        </w:rPr>
        <w:t>ل</w:t>
      </w:r>
      <w:r w:rsidRPr="001809AD">
        <w:rPr>
          <w:rStyle w:val="Char"/>
          <w:spacing w:val="-6"/>
          <w:rtl/>
        </w:rPr>
        <w:t xml:space="preserve">بعض الأعمال الغريبة التي كانت تتم خلال مجالس ذكر مصائب الحسين والأئمة </w:t>
      </w:r>
      <w:r w:rsidR="00924380" w:rsidRPr="001809AD">
        <w:rPr>
          <w:rStyle w:val="Char"/>
          <w:rFonts w:cs="CTraditional Arabic" w:hint="cs"/>
          <w:spacing w:val="-6"/>
          <w:rtl/>
        </w:rPr>
        <w:t>†</w:t>
      </w:r>
      <w:r w:rsidRPr="001809AD">
        <w:rPr>
          <w:rStyle w:val="Char"/>
          <w:spacing w:val="-6"/>
          <w:rtl/>
        </w:rPr>
        <w:t xml:space="preserve"> و</w:t>
      </w:r>
      <w:r w:rsidRPr="001809AD">
        <w:rPr>
          <w:rStyle w:val="Char"/>
          <w:rFonts w:hint="cs"/>
          <w:spacing w:val="-6"/>
          <w:rtl/>
        </w:rPr>
        <w:t>خلال الطقوس و</w:t>
      </w:r>
      <w:r w:rsidRPr="001809AD">
        <w:rPr>
          <w:rStyle w:val="Char"/>
          <w:spacing w:val="-6"/>
          <w:rtl/>
        </w:rPr>
        <w:t>المراسم المذهبية</w:t>
      </w:r>
      <w:r w:rsidRPr="001809AD">
        <w:rPr>
          <w:rStyle w:val="Char"/>
          <w:rFonts w:hint="cs"/>
          <w:spacing w:val="-6"/>
          <w:rtl/>
        </w:rPr>
        <w:t xml:space="preserve"> الشيعية</w:t>
      </w:r>
      <w:r w:rsidRPr="001809AD">
        <w:rPr>
          <w:rStyle w:val="Char"/>
          <w:spacing w:val="-6"/>
          <w:rtl/>
        </w:rPr>
        <w:t xml:space="preserve">. من الجدير بالذكر أن جيل البرقعي كان منذ عهد حكم رضا شاه وتبعًا للتيارات الإصلاحية في ذلك الزمن، يهتمّ بشكل خاص بمسألة البدع في الدين. ولاشك </w:t>
      </w:r>
      <w:r w:rsidRPr="001809AD">
        <w:rPr>
          <w:rStyle w:val="Char"/>
          <w:rFonts w:hint="cs"/>
          <w:spacing w:val="-6"/>
          <w:rtl/>
        </w:rPr>
        <w:t xml:space="preserve">أنه لم يكن من الممكن تحمل تلك الأعمال الغريبة </w:t>
      </w:r>
      <w:r w:rsidRPr="001809AD">
        <w:rPr>
          <w:rStyle w:val="Char"/>
          <w:spacing w:val="-6"/>
          <w:rtl/>
        </w:rPr>
        <w:t xml:space="preserve">بالنسبة إلى طالب </w:t>
      </w:r>
      <w:r w:rsidRPr="001809AD">
        <w:rPr>
          <w:rStyle w:val="Char"/>
          <w:rFonts w:hint="cs"/>
          <w:spacing w:val="-6"/>
          <w:rtl/>
        </w:rPr>
        <w:t>شريعة</w:t>
      </w:r>
      <w:r w:rsidRPr="001809AD">
        <w:rPr>
          <w:rStyle w:val="Char"/>
          <w:spacing w:val="-6"/>
          <w:rtl/>
        </w:rPr>
        <w:t xml:space="preserve"> درس العلو</w:t>
      </w:r>
      <w:r w:rsidRPr="001809AD">
        <w:rPr>
          <w:rStyle w:val="Char"/>
          <w:rFonts w:hint="cs"/>
          <w:spacing w:val="-6"/>
          <w:rtl/>
        </w:rPr>
        <w:t>م</w:t>
      </w:r>
      <w:r w:rsidRPr="001809AD">
        <w:rPr>
          <w:rStyle w:val="Char"/>
          <w:spacing w:val="-6"/>
          <w:rtl/>
        </w:rPr>
        <w:t xml:space="preserve"> الدينية </w:t>
      </w:r>
      <w:r w:rsidRPr="001809AD">
        <w:rPr>
          <w:rStyle w:val="Char"/>
          <w:rFonts w:hint="cs"/>
          <w:spacing w:val="-6"/>
          <w:rtl/>
        </w:rPr>
        <w:t xml:space="preserve">مدةً مديدةً </w:t>
      </w:r>
      <w:r w:rsidRPr="001809AD">
        <w:rPr>
          <w:rStyle w:val="Char"/>
          <w:spacing w:val="-6"/>
          <w:rtl/>
        </w:rPr>
        <w:t xml:space="preserve">في قم ولم </w:t>
      </w:r>
      <w:r w:rsidRPr="001809AD">
        <w:rPr>
          <w:rStyle w:val="Char"/>
          <w:rFonts w:hint="cs"/>
          <w:spacing w:val="-6"/>
          <w:rtl/>
        </w:rPr>
        <w:t>يرَ كثيرًا فيما سبق م</w:t>
      </w:r>
      <w:r w:rsidRPr="001809AD">
        <w:rPr>
          <w:rStyle w:val="Char"/>
          <w:spacing w:val="-6"/>
          <w:rtl/>
        </w:rPr>
        <w:t xml:space="preserve">ثل </w:t>
      </w:r>
      <w:r w:rsidRPr="001809AD">
        <w:rPr>
          <w:rStyle w:val="Char"/>
          <w:rFonts w:hint="cs"/>
          <w:spacing w:val="-6"/>
          <w:rtl/>
        </w:rPr>
        <w:t>تلك</w:t>
      </w:r>
      <w:r w:rsidRPr="001809AD">
        <w:rPr>
          <w:rStyle w:val="Char"/>
          <w:spacing w:val="-6"/>
          <w:rtl/>
        </w:rPr>
        <w:t xml:space="preserve"> الطقوس والأعمال</w:t>
      </w:r>
      <w:r w:rsidRPr="001809AD">
        <w:rPr>
          <w:rStyle w:val="Char"/>
          <w:rFonts w:hint="cs"/>
          <w:spacing w:val="-6"/>
          <w:rtl/>
        </w:rPr>
        <w:t>.</w:t>
      </w:r>
    </w:p>
    <w:p w:rsidR="00DA6CFB" w:rsidRPr="001809AD" w:rsidRDefault="00DA6CFB" w:rsidP="0092648A">
      <w:pPr>
        <w:widowControl w:val="0"/>
        <w:spacing w:line="216" w:lineRule="auto"/>
        <w:ind w:firstLine="284"/>
        <w:jc w:val="both"/>
        <w:rPr>
          <w:rStyle w:val="Char"/>
          <w:spacing w:val="-2"/>
          <w:rtl/>
        </w:rPr>
      </w:pPr>
      <w:r w:rsidRPr="001809AD">
        <w:rPr>
          <w:rStyle w:val="Char"/>
          <w:rFonts w:hint="cs"/>
          <w:spacing w:val="-2"/>
          <w:rtl/>
        </w:rPr>
        <w:t>كانت أول أعمال البرقعي العلمية تأليفه لكتاب في الرد على الصوفية عنوانه: «</w:t>
      </w:r>
      <w:r w:rsidRPr="008C7124">
        <w:rPr>
          <w:rStyle w:val="Char7"/>
          <w:rFonts w:hint="cs"/>
          <w:rtl/>
        </w:rPr>
        <w:t>حقيقة العرفان</w:t>
      </w:r>
      <w:r w:rsidRPr="001809AD">
        <w:rPr>
          <w:rStyle w:val="Char"/>
          <w:rFonts w:hint="cs"/>
          <w:spacing w:val="-2"/>
          <w:rtl/>
        </w:rPr>
        <w:t>» ولقي كتابه هذا الترحيب والاستحسان مِنْ قِبَلِ علماء الدين. بعد ذلك بمدة وجيزة ألف كتابًا آخر في الرد على الفلسفة عنوانه «</w:t>
      </w:r>
      <w:r w:rsidRPr="001809AD">
        <w:rPr>
          <w:rStyle w:val="Char8"/>
          <w:rFonts w:hint="cs"/>
          <w:spacing w:val="-2"/>
          <w:rtl/>
        </w:rPr>
        <w:t>عقل و د</w:t>
      </w:r>
      <w:r w:rsidR="008C7124">
        <w:rPr>
          <w:rStyle w:val="Char8"/>
          <w:rFonts w:hint="cs"/>
          <w:spacing w:val="-2"/>
          <w:rtl/>
        </w:rPr>
        <w:t>ی</w:t>
      </w:r>
      <w:r w:rsidRPr="001809AD">
        <w:rPr>
          <w:rStyle w:val="Char8"/>
          <w:rFonts w:hint="cs"/>
          <w:spacing w:val="-2"/>
          <w:rtl/>
        </w:rPr>
        <w:t>ن</w:t>
      </w:r>
      <w:r w:rsidRPr="001809AD">
        <w:rPr>
          <w:rStyle w:val="Char"/>
          <w:rFonts w:hint="cs"/>
          <w:spacing w:val="-2"/>
          <w:rtl/>
        </w:rPr>
        <w:t>» ولم يُعْجِب كتابه هذا - على حدِّ قوله - الشيوخَ المتبعين للفلسفة اليونانية! ثم بعدها بمدة قصيرة ألف كتاب «</w:t>
      </w:r>
      <w:r w:rsidRPr="001809AD">
        <w:rPr>
          <w:rStyle w:val="Char8"/>
          <w:rFonts w:hint="cs"/>
          <w:spacing w:val="-2"/>
          <w:rtl/>
        </w:rPr>
        <w:t>درس</w:t>
      </w:r>
      <w:r w:rsidR="008C7124">
        <w:rPr>
          <w:rStyle w:val="Char8"/>
          <w:rFonts w:hint="cs"/>
          <w:spacing w:val="-2"/>
          <w:rtl/>
        </w:rPr>
        <w:t>ی</w:t>
      </w:r>
      <w:r w:rsidRPr="001809AD">
        <w:rPr>
          <w:rStyle w:val="Char8"/>
          <w:rFonts w:hint="cs"/>
          <w:spacing w:val="-2"/>
          <w:rtl/>
        </w:rPr>
        <w:t xml:space="preserve"> از ولا</w:t>
      </w:r>
      <w:r w:rsidR="008C7124">
        <w:rPr>
          <w:rStyle w:val="Char8"/>
          <w:rFonts w:hint="cs"/>
          <w:spacing w:val="-2"/>
          <w:rtl/>
        </w:rPr>
        <w:t>ی</w:t>
      </w:r>
      <w:r w:rsidRPr="001809AD">
        <w:rPr>
          <w:rStyle w:val="Char8"/>
          <w:rFonts w:hint="cs"/>
          <w:spacing w:val="-2"/>
          <w:rtl/>
        </w:rPr>
        <w:t>ت</w:t>
      </w:r>
      <w:r w:rsidRPr="001809AD">
        <w:rPr>
          <w:rStyle w:val="Char"/>
          <w:rFonts w:hint="cs"/>
          <w:spacing w:val="-2"/>
          <w:rtl/>
        </w:rPr>
        <w:t>» [درسٌ حول الولاية] أراد فيه - كما قال - أن يبيِّن الأعمال والعقائد الشركية للمتظاهرين بالتشيع وللصوفية والشيخية، وقد خلق هذا الكتاب له مزيداً من المعارضين.</w:t>
      </w:r>
      <w:r w:rsidRPr="001809AD">
        <w:rPr>
          <w:rStyle w:val="Char"/>
          <w:rFonts w:ascii="Arabic11 BT" w:hAnsi="Arabic11 BT" w:cs="Arabic11 BT"/>
          <w:spacing w:val="-2"/>
          <w:vertAlign w:val="superscript"/>
          <w:rtl/>
        </w:rPr>
        <w:footnoteReference w:id="294"/>
      </w:r>
      <w:r w:rsidRPr="001809AD">
        <w:rPr>
          <w:rStyle w:val="Char"/>
          <w:rFonts w:hint="cs"/>
          <w:spacing w:val="-2"/>
          <w:rtl/>
        </w:rPr>
        <w:t xml:space="preserve"> وحسب قوله كتب عدد من الشيوخ ردوداً عليه منها كتاب «</w:t>
      </w:r>
      <w:r w:rsidRPr="008C7124">
        <w:rPr>
          <w:rStyle w:val="Char7"/>
          <w:rFonts w:hint="cs"/>
          <w:rtl/>
        </w:rPr>
        <w:t xml:space="preserve">إثبات الولاية </w:t>
      </w:r>
      <w:r w:rsidRPr="008C7124">
        <w:rPr>
          <w:rStyle w:val="Char7"/>
          <w:rFonts w:hint="cs"/>
          <w:rtl/>
        </w:rPr>
        <w:lastRenderedPageBreak/>
        <w:t>الحقة</w:t>
      </w:r>
      <w:r w:rsidRPr="001809AD">
        <w:rPr>
          <w:rStyle w:val="Char"/>
          <w:rFonts w:hint="cs"/>
          <w:spacing w:val="-2"/>
          <w:rtl/>
        </w:rPr>
        <w:t>» وكتاب «</w:t>
      </w:r>
      <w:r w:rsidRPr="008C7124">
        <w:rPr>
          <w:rStyle w:val="Char7"/>
          <w:rFonts w:hint="cs"/>
          <w:rtl/>
        </w:rPr>
        <w:t>الدفاع عن حريم الشيعة</w:t>
      </w:r>
      <w:r w:rsidRPr="001809AD">
        <w:rPr>
          <w:rStyle w:val="Char"/>
          <w:rFonts w:hint="cs"/>
          <w:spacing w:val="-2"/>
          <w:rtl/>
        </w:rPr>
        <w:t>» وكتاب «</w:t>
      </w:r>
      <w:r w:rsidRPr="008C7124">
        <w:rPr>
          <w:rStyle w:val="Char7"/>
          <w:rFonts w:hint="cs"/>
          <w:rtl/>
        </w:rPr>
        <w:t>حقيقة الولاية</w:t>
      </w:r>
      <w:r w:rsidRPr="001809AD">
        <w:rPr>
          <w:rStyle w:val="Char"/>
          <w:rFonts w:hint="cs"/>
          <w:spacing w:val="-2"/>
          <w:rtl/>
        </w:rPr>
        <w:t>» وكتاب «</w:t>
      </w:r>
      <w:r w:rsidRPr="008C7124">
        <w:rPr>
          <w:rStyle w:val="Char7"/>
          <w:rFonts w:hint="cs"/>
          <w:rtl/>
        </w:rPr>
        <w:t>عقائد الشيعة</w:t>
      </w:r>
      <w:r w:rsidRPr="001809AD">
        <w:rPr>
          <w:rStyle w:val="Char"/>
          <w:rFonts w:hint="cs"/>
          <w:spacing w:val="-2"/>
          <w:rtl/>
        </w:rPr>
        <w:t>» التي ألفها شيوخ مثل نمازي ومحلوجي ورشاد الزنجاني وخندق آبادي.</w:t>
      </w:r>
      <w:r w:rsidRPr="001809AD">
        <w:rPr>
          <w:rStyle w:val="Char"/>
          <w:rFonts w:ascii="Arabic11 BT" w:hAnsi="Arabic11 BT" w:cs="Arabic11 BT"/>
          <w:spacing w:val="-2"/>
          <w:vertAlign w:val="superscript"/>
          <w:rtl/>
        </w:rPr>
        <w:footnoteReference w:id="295"/>
      </w:r>
      <w:r w:rsidRPr="001809AD">
        <w:rPr>
          <w:rStyle w:val="Char"/>
          <w:rFonts w:hint="cs"/>
          <w:spacing w:val="-2"/>
          <w:rtl/>
        </w:rPr>
        <w:t xml:space="preserve"> منذ ذلك الحين فما بعد بدأ بعض خطباء المنابر بمهاجمة البرقعي، كما قام هو أيضًا، في ردِّ فعله عليهم، بالهجوم على قُرَّاء مصائب آل البيت، مُبَيِّنًا أنّ الموضوعات التي يذكرونها في خطبهم غير صحيحة ولا معقولة. في ذلك الوقت سعى السيد شريعتمداري،</w:t>
      </w:r>
      <w:r w:rsidRPr="001809AD">
        <w:rPr>
          <w:rStyle w:val="Char"/>
          <w:rFonts w:ascii="Arabic11 BT" w:hAnsi="Arabic11 BT" w:cs="Arabic11 BT"/>
          <w:spacing w:val="-2"/>
          <w:vertAlign w:val="superscript"/>
          <w:rtl/>
        </w:rPr>
        <w:footnoteReference w:id="296"/>
      </w:r>
      <w:r w:rsidRPr="001809AD">
        <w:rPr>
          <w:rStyle w:val="Char"/>
          <w:rFonts w:hint="cs"/>
          <w:spacing w:val="-2"/>
          <w:rtl/>
        </w:rPr>
        <w:t xml:space="preserve"> الذي أصبحت مواقفه ضد عقائد البرقعي ومؤلفاته الكثيرة أكثر وضوحاً وصراحةً الآن، إلى إخراج البرقعي من المسجد الذي كان يصلي فيه منذ سبعة وعشرين عاماً - كما يقول -، مما جعل البرقعي يهاجم شريعتمداري بشدَّة. لكن البرقعي كان قد أصبح في تلك الفترة منعزلاً بشكل كبير، وحتى أسرته وأصهاره ابتعدوا عنه، مما جعله يهاجمهم أيضًا في كتاب مُذَكَّرَاته، إذ اتهمهم بالجهل والأمية. كتب السيد مهدوي راد إليَّ يقول: أمضى البرقعي فترةً من الزمن في مدينة قوچان وكانت دعوته ومواعظه سبباً في نشأة تيارين في تلك المدينة هما التيار «التكويني» والتيار «التشريعي»، ووقع اختلاف عظيم بينهما. وبسبب هذه الأوضاع الناجمة عن حضور البرقعي في المدينة، قام عالم قوچان في حينه الحاج ذبيح الله قوچاني بمغادرتها والانتقال إلى مدينة مشهد. في تلك الأيام، كان موضوع التشريعي والتكويني قد أثار لغطًا ومعركةً من الآراء في مشهد أيضًا، وكان كثير من الخطباء يتكلّمون حول هذا الموضوع. كما كُتِبَت حوله كثير من الكتب.</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xml:space="preserve">كتب البرقعي سنة 1355 هـ.ش [1976م] رسائل لبعض المراجع في قم وطهران، واشتكى من عدم قيام أيٍّ منهم بالدفاع عنه أمام تلك الهجمات التي كانت تُشَنُّ عليه. وكان يعتبر أن أهم مسألة هي محاربته للخرافات. وإذا كان مفهوم الخرافات في نظره، سابقًا، لا يمسُّ أصل التشيع، فإن مفهوم الخرافات عنده الآن أصبح يُطْلَق على أركان التشيع وركائزه ذاتها، لذا لم تكن هناك إمكانية لدفاع المراجع عنه. يبدو أن البرقعي لم يكن راغباً بأن يوصَف، منذ ذلك الحين فما بعد، بأنه سُنِّـيٌّ، لكنه كان في الواقع قد تجاوز حتى حدود التسنُّن وأصبح وهَّابِيًّا كاملًا بامتياز.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سنة 1357 هـ.ش [1978م] وصل إلى هيئة رقابة الكتب وتقييمها تفسيرٌ كَتَبَهُ البرقعي، وقد كتب الموظف المسؤول عن تقييم الكتاب يقول: «هذا التفسير هو في الحقيقة للسيد برقعي وقد طُبِع باسم أحمد نوانديش ويتضمن أفكاراً معادية للشيعة».</w:t>
      </w:r>
      <w:r w:rsidRPr="006E28E9">
        <w:rPr>
          <w:rStyle w:val="Char"/>
          <w:rFonts w:ascii="Arabic11 BT" w:hAnsi="Arabic11 BT" w:cs="Arabic11 BT"/>
          <w:vertAlign w:val="superscript"/>
          <w:rtl/>
        </w:rPr>
        <w:footnoteReference w:id="297"/>
      </w:r>
    </w:p>
    <w:p w:rsidR="00DA6CFB" w:rsidRPr="0092648A" w:rsidRDefault="00DA6CFB" w:rsidP="0092648A">
      <w:pPr>
        <w:widowControl w:val="0"/>
        <w:spacing w:line="216" w:lineRule="auto"/>
        <w:ind w:firstLine="284"/>
        <w:jc w:val="both"/>
        <w:rPr>
          <w:rStyle w:val="Char"/>
          <w:rtl/>
        </w:rPr>
      </w:pPr>
      <w:r w:rsidRPr="0092648A">
        <w:rPr>
          <w:rStyle w:val="Char"/>
          <w:rFonts w:hint="cs"/>
          <w:rtl/>
        </w:rPr>
        <w:t>يمكننا أن نُقَسِّم حياة البرقعي بشكل أساسي إلى ثلاث مراحل: المرحلة التي كان يعالج فيها بكل هدوء نزعات غير عادية مثل التصوف وغيره، فكان ينكر كثيرًا مما فيها بوصفه من الخرافات والبدع في الدين. المرحلة الثانية عندما بدأ ينتقد بعض العقائد التي يؤمن بها عوام الشيعة وينكرها شيئاً فشيئاً بوصفها من الخرافات. في المرحلة الثالثة خطا أبعد مما سبق وبدأ ينتقد أصل التشيع وكانت ذروة ذلك تبنيه للوهابية بشكل كامل.</w:t>
      </w:r>
    </w:p>
    <w:p w:rsidR="00DA6CFB" w:rsidRPr="0092648A" w:rsidRDefault="00DA6CFB" w:rsidP="0092648A">
      <w:pPr>
        <w:widowControl w:val="0"/>
        <w:spacing w:line="216" w:lineRule="auto"/>
        <w:ind w:firstLine="284"/>
        <w:jc w:val="both"/>
        <w:rPr>
          <w:rStyle w:val="Char"/>
          <w:rtl/>
        </w:rPr>
      </w:pPr>
      <w:r w:rsidRPr="0092648A">
        <w:rPr>
          <w:rStyle w:val="Char"/>
          <w:rFonts w:hint="cs"/>
          <w:rtl/>
        </w:rPr>
        <w:t>توجد بين مؤلفاته كتب تتعلق بالمرحلة الأولى، في حين تتعلق بعض مؤلفاته الأخرى بالمرحلة الأخيرة من حياته. في كتابه الذي كتبه عن نفسه أدرج فهرساً يتضمن عناوين 77 كتابًا له، ومن جملتها كتاب عنوانه «</w:t>
      </w:r>
      <w:r w:rsidRPr="0092648A">
        <w:rPr>
          <w:rStyle w:val="Char8"/>
          <w:rFonts w:hint="cs"/>
          <w:rtl/>
        </w:rPr>
        <w:t>عقائد امام</w:t>
      </w:r>
      <w:r w:rsidR="008C7124">
        <w:rPr>
          <w:rStyle w:val="Char8"/>
          <w:rFonts w:hint="cs"/>
          <w:rtl/>
        </w:rPr>
        <w:t>ی</w:t>
      </w:r>
      <w:r w:rsidRPr="0092648A">
        <w:rPr>
          <w:rStyle w:val="Char8"/>
          <w:rFonts w:hint="cs"/>
          <w:rtl/>
        </w:rPr>
        <w:t>ه اثنا عشر</w:t>
      </w:r>
      <w:r w:rsidR="008C7124">
        <w:rPr>
          <w:rStyle w:val="Char8"/>
          <w:rFonts w:hint="cs"/>
          <w:rtl/>
        </w:rPr>
        <w:t>ی</w:t>
      </w:r>
      <w:r w:rsidRPr="0092648A">
        <w:rPr>
          <w:rStyle w:val="Char8"/>
          <w:rFonts w:hint="cs"/>
          <w:rtl/>
        </w:rPr>
        <w:t>ه</w:t>
      </w:r>
      <w:r w:rsidRPr="0092648A">
        <w:rPr>
          <w:rStyle w:val="Char"/>
          <w:rFonts w:hint="cs"/>
          <w:rtl/>
        </w:rPr>
        <w:t>» الذي كُتِب إلى جانبه: «متعلق بالمرحلة السابقة لاستبصاري». وله كتاب «</w:t>
      </w:r>
      <w:r w:rsidRPr="0092648A">
        <w:rPr>
          <w:rStyle w:val="Char8"/>
          <w:rFonts w:hint="cs"/>
          <w:rtl/>
        </w:rPr>
        <w:t>تراجم الرجال</w:t>
      </w:r>
      <w:r w:rsidRPr="0092648A">
        <w:rPr>
          <w:rStyle w:val="Char"/>
          <w:rFonts w:hint="cs"/>
          <w:rtl/>
        </w:rPr>
        <w:t>» يقع في عشر مجلدات، لكنْ لم يُطْبَع منها سوى مجلد واحد، وقال البرقعي [في ذلك الفهرس] عنه: «تأليف هذا الكتاب يعود إلى الزمن الذي كنت مبتلىً فيه بالخرافات الحوزوية». وللبرقعي كتاب عنوانه «</w:t>
      </w:r>
      <w:r w:rsidRPr="008C7124">
        <w:rPr>
          <w:rStyle w:val="Char7"/>
          <w:rFonts w:hint="cs"/>
          <w:rtl/>
        </w:rPr>
        <w:t>أحكام القرآن</w:t>
      </w:r>
      <w:r w:rsidRPr="0092648A">
        <w:rPr>
          <w:rStyle w:val="Char"/>
          <w:rFonts w:hint="cs"/>
          <w:rtl/>
        </w:rPr>
        <w:t xml:space="preserve">» بمثابة رسالة فقهية عملية مستقاة من القرآن الكريم، وقد نُشِرَ سنة 1394 هـ.ق. [1974م] (طهران، انتشارات عطايى). ومن كتبه الأخرى </w:t>
      </w:r>
      <w:r w:rsidRPr="008C7124">
        <w:rPr>
          <w:rStyle w:val="Char7"/>
          <w:rFonts w:hint="cs"/>
          <w:rtl/>
        </w:rPr>
        <w:t>رسالة حول خطبة الغدير</w:t>
      </w:r>
      <w:r w:rsidRPr="0092648A">
        <w:rPr>
          <w:rStyle w:val="Char"/>
          <w:rFonts w:hint="cs"/>
          <w:rtl/>
        </w:rPr>
        <w:t xml:space="preserve"> طبعتها له مجلة «</w:t>
      </w:r>
      <w:r w:rsidRPr="0092648A">
        <w:rPr>
          <w:rStyle w:val="Char8"/>
          <w:rFonts w:hint="cs"/>
          <w:rtl/>
        </w:rPr>
        <w:t>رنگ</w:t>
      </w:r>
      <w:r w:rsidR="008C7124">
        <w:rPr>
          <w:rStyle w:val="Char8"/>
          <w:rFonts w:hint="cs"/>
          <w:rtl/>
        </w:rPr>
        <w:t>ی</w:t>
      </w:r>
      <w:r w:rsidRPr="0092648A">
        <w:rPr>
          <w:rStyle w:val="Char8"/>
          <w:rFonts w:hint="cs"/>
          <w:rtl/>
        </w:rPr>
        <w:t xml:space="preserve">ن </w:t>
      </w:r>
      <w:r w:rsidR="008C7124">
        <w:rPr>
          <w:rStyle w:val="Char8"/>
          <w:rFonts w:hint="cs"/>
          <w:rtl/>
        </w:rPr>
        <w:t>ک</w:t>
      </w:r>
      <w:r w:rsidRPr="0092648A">
        <w:rPr>
          <w:rStyle w:val="Char8"/>
          <w:rFonts w:hint="cs"/>
          <w:rtl/>
        </w:rPr>
        <w:t>مان</w:t>
      </w:r>
      <w:r w:rsidRPr="0092648A">
        <w:rPr>
          <w:rStyle w:val="Char"/>
          <w:rFonts w:hint="cs"/>
          <w:rtl/>
        </w:rPr>
        <w:t>» سنة 1353 هـ.ش [1974م]، وهي مجلة كانت تنشر مقالات للدكتور صادق تقوي أيضًا. ومن كتبه الأخرى كذلك كتاب «</w:t>
      </w:r>
      <w:r w:rsidRPr="0092648A">
        <w:rPr>
          <w:rStyle w:val="Char8"/>
          <w:rFonts w:hint="cs"/>
          <w:rtl/>
        </w:rPr>
        <w:t>ح</w:t>
      </w:r>
      <w:r w:rsidR="008C7124">
        <w:rPr>
          <w:rStyle w:val="Char8"/>
          <w:rFonts w:hint="cs"/>
          <w:rtl/>
        </w:rPr>
        <w:t>ک</w:t>
      </w:r>
      <w:r w:rsidRPr="0092648A">
        <w:rPr>
          <w:rStyle w:val="Char8"/>
          <w:rFonts w:hint="cs"/>
          <w:rtl/>
        </w:rPr>
        <w:t>ومت جمهورى اسلامى</w:t>
      </w:r>
      <w:r w:rsidRPr="0092648A">
        <w:rPr>
          <w:rStyle w:val="Char"/>
          <w:rFonts w:hint="cs"/>
          <w:rtl/>
        </w:rPr>
        <w:t xml:space="preserve">» الذي طُبِع قُبَيْل الثورة وأدرج الناشر عدداً من السطور في الصفحة </w:t>
      </w:r>
      <w:r w:rsidRPr="0092648A">
        <w:rPr>
          <w:rStyle w:val="Char"/>
          <w:rFonts w:hint="cs"/>
          <w:rtl/>
        </w:rPr>
        <w:lastRenderedPageBreak/>
        <w:t>الحادية عشرة منه، دون إذن من المؤلف! أما كُتَيِّب «</w:t>
      </w:r>
      <w:r w:rsidRPr="0092648A">
        <w:rPr>
          <w:rStyle w:val="Char8"/>
          <w:rFonts w:hint="cs"/>
          <w:rtl/>
        </w:rPr>
        <w:t>تابشى از قرآن</w:t>
      </w:r>
      <w:r w:rsidRPr="0092648A">
        <w:rPr>
          <w:rStyle w:val="Char"/>
          <w:rFonts w:hint="cs"/>
          <w:rtl/>
        </w:rPr>
        <w:t>» [قبس من القرآن] فهو مأخوذٌ من دروسه في مسجد معبر وزير دفتر وقد طُبَع الكُتَيِّب تحت عنوان العدد السابع من تلك السلسلة، ويدور البحث فيه حول مفهوم المتشابهات في القرآن كما يضم فصلاً عنوانه: «القرآن قابلٌ للفهم مِنْ قِبَلِ جميع الناس».</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ومن كتبه في مرحلة تسننه كتاب «</w:t>
      </w:r>
      <w:r w:rsidRPr="0092648A">
        <w:rPr>
          <w:rStyle w:val="Char8"/>
          <w:rFonts w:hint="cs"/>
          <w:rtl/>
        </w:rPr>
        <w:t>نقد المراجعات</w:t>
      </w:r>
      <w:r w:rsidRPr="0092648A">
        <w:rPr>
          <w:rStyle w:val="Char"/>
          <w:rFonts w:hint="cs"/>
          <w:rtl/>
        </w:rPr>
        <w:t>» الذي نقد فيه كتاب المراجعات للسيد عبد الحسين شرف الدين [الموسوي العاملي]، وقد ألّف البرقعي هذا الكتاب باللغة العربية. ومنها كتابه «</w:t>
      </w:r>
      <w:r w:rsidRPr="0092648A">
        <w:rPr>
          <w:rStyle w:val="Char8"/>
          <w:rFonts w:hint="cs"/>
          <w:rtl/>
        </w:rPr>
        <w:t>عق</w:t>
      </w:r>
      <w:r w:rsidR="008C7124">
        <w:rPr>
          <w:rStyle w:val="Char8"/>
          <w:rFonts w:hint="cs"/>
          <w:rtl/>
        </w:rPr>
        <w:t>ی</w:t>
      </w:r>
      <w:r w:rsidRPr="0092648A">
        <w:rPr>
          <w:rStyle w:val="Char8"/>
          <w:rFonts w:hint="cs"/>
          <w:rtl/>
        </w:rPr>
        <w:t>ده اسلام</w:t>
      </w:r>
      <w:r w:rsidR="008C7124">
        <w:rPr>
          <w:rStyle w:val="Char8"/>
          <w:rFonts w:hint="cs"/>
          <w:rtl/>
        </w:rPr>
        <w:t>ی</w:t>
      </w:r>
      <w:r w:rsidRPr="0092648A">
        <w:rPr>
          <w:rStyle w:val="Char8"/>
          <w:rFonts w:hint="cs"/>
          <w:rtl/>
        </w:rPr>
        <w:t>ه</w:t>
      </w:r>
      <w:r w:rsidRPr="0092648A">
        <w:rPr>
          <w:rStyle w:val="Char"/>
          <w:rFonts w:hint="cs"/>
          <w:rtl/>
        </w:rPr>
        <w:t>» الذي وصفه بقوله: «تأليف محمد بن عبد الوهاب وقد طبعتُهُ مع مقدمة وإضافات تحت اسم مستعار هو عبد الله تقي زاده». ومن كتبه الأخرى كتاب «</w:t>
      </w:r>
      <w:r w:rsidRPr="0092648A">
        <w:rPr>
          <w:rStyle w:val="Char8"/>
          <w:rFonts w:hint="cs"/>
          <w:rtl/>
        </w:rPr>
        <w:t>خرافات وفور در ز</w:t>
      </w:r>
      <w:r w:rsidR="008C7124">
        <w:rPr>
          <w:rStyle w:val="Char8"/>
          <w:rFonts w:hint="cs"/>
          <w:rtl/>
        </w:rPr>
        <w:t>ی</w:t>
      </w:r>
      <w:r w:rsidRPr="0092648A">
        <w:rPr>
          <w:rStyle w:val="Char8"/>
          <w:rFonts w:hint="cs"/>
          <w:rtl/>
        </w:rPr>
        <w:t>ارت قبور</w:t>
      </w:r>
      <w:r w:rsidRPr="0092648A">
        <w:rPr>
          <w:rStyle w:val="Char"/>
          <w:rFonts w:hint="cs"/>
          <w:rtl/>
        </w:rPr>
        <w:t>» [الخرافات الوافرة في زيارة القبور] ألّفه متأثراً بكتاب «</w:t>
      </w:r>
      <w:r w:rsidRPr="0092648A">
        <w:rPr>
          <w:rStyle w:val="Char8"/>
          <w:rFonts w:hint="cs"/>
          <w:rtl/>
        </w:rPr>
        <w:t>ز</w:t>
      </w:r>
      <w:r w:rsidR="008C7124">
        <w:rPr>
          <w:rStyle w:val="Char8"/>
          <w:rFonts w:hint="cs"/>
          <w:rtl/>
        </w:rPr>
        <w:t>ی</w:t>
      </w:r>
      <w:r w:rsidRPr="0092648A">
        <w:rPr>
          <w:rStyle w:val="Char8"/>
          <w:rFonts w:hint="cs"/>
          <w:rtl/>
        </w:rPr>
        <w:t>ارت</w:t>
      </w:r>
      <w:r w:rsidRPr="0092648A">
        <w:rPr>
          <w:rStyle w:val="Char"/>
          <w:rFonts w:hint="cs"/>
          <w:rtl/>
        </w:rPr>
        <w:t>» لقلمداران، كما ذكر هو نفسه ذلك قائلاً: «بعد أن قرأتُ كتاب طريق النجاة لقلمداران تشجعتُ لكتابة هذا الكتاب». كما كتب البرقعي مقدمةً وحواشيَ على كتاب «</w:t>
      </w:r>
      <w:r w:rsidRPr="0092648A">
        <w:rPr>
          <w:rStyle w:val="Char8"/>
          <w:rFonts w:hint="cs"/>
          <w:rtl/>
        </w:rPr>
        <w:t>شاهراه اتحاد</w:t>
      </w:r>
      <w:r w:rsidRPr="0092648A">
        <w:rPr>
          <w:rStyle w:val="Char"/>
          <w:rFonts w:hint="cs"/>
          <w:rtl/>
        </w:rPr>
        <w:t>» [طريق الاتحاد الواسع] لقلمداران، وذكره تحت رقم 76 من فهرس مؤلفاته. ومن كتب البرقعي الأخرى في هذه المرحلة: «</w:t>
      </w:r>
      <w:r w:rsidRPr="0092648A">
        <w:rPr>
          <w:rStyle w:val="Char8"/>
          <w:rFonts w:hint="cs"/>
          <w:rtl/>
        </w:rPr>
        <w:t>تضاد مفات</w:t>
      </w:r>
      <w:r w:rsidR="008C7124">
        <w:rPr>
          <w:rStyle w:val="Char8"/>
          <w:rFonts w:hint="cs"/>
          <w:rtl/>
        </w:rPr>
        <w:t>ی</w:t>
      </w:r>
      <w:r w:rsidRPr="0092648A">
        <w:rPr>
          <w:rStyle w:val="Char8"/>
          <w:rFonts w:hint="cs"/>
          <w:rtl/>
        </w:rPr>
        <w:t>ح الجنان با قرآن</w:t>
      </w:r>
      <w:r w:rsidRPr="0092648A">
        <w:rPr>
          <w:rStyle w:val="Char"/>
          <w:rFonts w:hint="cs"/>
          <w:rtl/>
        </w:rPr>
        <w:t>» [تناقض مفاتيح الجنان مع القرآن]، و «</w:t>
      </w:r>
      <w:r w:rsidRPr="0092648A">
        <w:rPr>
          <w:rStyle w:val="Char8"/>
          <w:rFonts w:hint="cs"/>
          <w:rtl/>
        </w:rPr>
        <w:t>بررسى علمى در احاد</w:t>
      </w:r>
      <w:r w:rsidR="008C7124">
        <w:rPr>
          <w:rStyle w:val="Char8"/>
          <w:rFonts w:hint="cs"/>
          <w:rtl/>
        </w:rPr>
        <w:t>ی</w:t>
      </w:r>
      <w:r w:rsidRPr="0092648A">
        <w:rPr>
          <w:rStyle w:val="Char8"/>
          <w:rFonts w:hint="cs"/>
          <w:rtl/>
        </w:rPr>
        <w:t>ث مهدى</w:t>
      </w:r>
      <w:r w:rsidRPr="0092648A">
        <w:rPr>
          <w:rStyle w:val="Char"/>
          <w:rFonts w:hint="cs"/>
          <w:rtl/>
        </w:rPr>
        <w:t>» [دراسة علمية لأحاديث المهدي]، و«</w:t>
      </w:r>
      <w:r w:rsidRPr="0092648A">
        <w:rPr>
          <w:rStyle w:val="Char8"/>
          <w:rFonts w:hint="cs"/>
          <w:rtl/>
        </w:rPr>
        <w:t>بت ش</w:t>
      </w:r>
      <w:r w:rsidR="008C7124">
        <w:rPr>
          <w:rStyle w:val="Char8"/>
          <w:rFonts w:hint="cs"/>
          <w:rtl/>
        </w:rPr>
        <w:t>ک</w:t>
      </w:r>
      <w:r w:rsidRPr="0092648A">
        <w:rPr>
          <w:rStyle w:val="Char8"/>
          <w:rFonts w:hint="cs"/>
          <w:rtl/>
        </w:rPr>
        <w:t xml:space="preserve">ن </w:t>
      </w:r>
      <w:r w:rsidR="008C7124">
        <w:rPr>
          <w:rStyle w:val="Char8"/>
          <w:rFonts w:hint="cs"/>
          <w:rtl/>
        </w:rPr>
        <w:t>ی</w:t>
      </w:r>
      <w:r w:rsidRPr="0092648A">
        <w:rPr>
          <w:rStyle w:val="Char8"/>
          <w:rFonts w:hint="cs"/>
          <w:rtl/>
        </w:rPr>
        <w:t>ا عرض اخبار اصول بر قرآن و عقول</w:t>
      </w:r>
      <w:r w:rsidRPr="0092648A">
        <w:rPr>
          <w:rStyle w:val="Char"/>
          <w:rFonts w:hint="cs"/>
          <w:rtl/>
        </w:rPr>
        <w:t>» [مُحَطِّم الصنم أو عرض أخبار الأصول على القرآن والعقول]، وقد قام أحد أهل السنة [الإيرانيين] البلوش ويُدعى [عبد الرحيم] ملا زاده، وكان مقيمًا في شبه الجزيرة العربية، بترجمة الكتاب الأخير إلى اللغة العربية تحت عنوان «</w:t>
      </w:r>
      <w:r w:rsidR="008C7124">
        <w:rPr>
          <w:rStyle w:val="Char8"/>
          <w:rFonts w:hint="cs"/>
          <w:rtl/>
        </w:rPr>
        <w:t>ک</w:t>
      </w:r>
      <w:r w:rsidRPr="0092648A">
        <w:rPr>
          <w:rStyle w:val="Char8"/>
          <w:rFonts w:hint="cs"/>
          <w:rtl/>
        </w:rPr>
        <w:t>سر الصنم</w:t>
      </w:r>
      <w:r w:rsidRPr="0092648A">
        <w:rPr>
          <w:rStyle w:val="Char"/>
          <w:rFonts w:hint="cs"/>
          <w:rtl/>
        </w:rPr>
        <w:t>» وطبعه في الأردن!</w:t>
      </w:r>
      <w:r w:rsidRPr="006E28E9">
        <w:rPr>
          <w:rStyle w:val="Char"/>
          <w:rFonts w:ascii="Arabic11 BT" w:hAnsi="Arabic11 BT" w:cs="Arabic11 BT"/>
          <w:vertAlign w:val="superscript"/>
          <w:rtl/>
        </w:rPr>
        <w:footnoteReference w:id="298"/>
      </w:r>
      <w:r w:rsidRPr="0092648A">
        <w:rPr>
          <w:rStyle w:val="Char"/>
          <w:rFonts w:hint="cs"/>
          <w:rtl/>
        </w:rPr>
        <w:t xml:space="preserve"> ومن كتب البرقعي الأخرى باللغة الفارسية كتابٌ طُبِع في السعودية ووُزِّع على الحُجَّاج الإيرانيين وهو: «</w:t>
      </w:r>
      <w:r w:rsidRPr="0092648A">
        <w:rPr>
          <w:rStyle w:val="Char8"/>
          <w:rFonts w:hint="cs"/>
          <w:rtl/>
        </w:rPr>
        <w:t>رهنمود سنت در رد اهل بدعت</w:t>
      </w:r>
      <w:r w:rsidRPr="0092648A">
        <w:rPr>
          <w:rStyle w:val="Char"/>
          <w:rFonts w:hint="cs"/>
          <w:rtl/>
        </w:rPr>
        <w:t xml:space="preserve">» [مرشد السنة في رد أهل البدعة]، وهو خلاصة لكتاب </w:t>
      </w:r>
      <w:r w:rsidRPr="008C7124">
        <w:rPr>
          <w:rStyle w:val="Char7"/>
          <w:rFonts w:hint="cs"/>
          <w:rtl/>
        </w:rPr>
        <w:t>منهاج السنة النبوية</w:t>
      </w:r>
      <w:r w:rsidRPr="0092648A">
        <w:rPr>
          <w:rStyle w:val="Char"/>
          <w:rFonts w:hint="cs"/>
          <w:rtl/>
        </w:rPr>
        <w:t xml:space="preserve"> لابن تيمية الذي أضاف البرقعي عليه حواشي وإيضاحات من عنده. وعلى إثر نشر هذا الكتاب اعْتُقِل البرقعي سنة 1366 هـ.ش [1987م] وحُبِس في سجن إيفين [شمال طهران] مدة 16 شهراً. ومن الواضح أن تعامل علماء الشيعة معه على هذا النحو لم يكن أمرًا غير عادي أو مستغربًا بالنظر إلى تبنيه لأفكار ابن تيميه وإلى أفكاره المعادية للشيعة بشكل شديد و واسع. أضف إلى ذلك أن الكتاب الأخير أفضل شاهد على أن </w:t>
      </w:r>
      <w:r w:rsidRPr="0092648A">
        <w:rPr>
          <w:rStyle w:val="Char"/>
          <w:rFonts w:hint="cs"/>
          <w:rtl/>
        </w:rPr>
        <w:lastRenderedPageBreak/>
        <w:t>البرقعي لم يبق حتى في مستوى سني عادي بل تحول -كما ذكرنا سابقاً- إلى وهابي كامل.</w:t>
      </w:r>
      <w:r w:rsidRPr="006E28E9">
        <w:rPr>
          <w:rStyle w:val="Char"/>
          <w:rFonts w:ascii="Arabic11 BT" w:hAnsi="Arabic11 BT" w:cs="Arabic11 BT"/>
          <w:vertAlign w:val="superscript"/>
          <w:rtl/>
        </w:rPr>
        <w:footnoteReference w:id="299"/>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أصدر البرقعي في شهر اسفند من سنة 1357 هـ.ش (شباط 1979م) بيانًا سياسيًّا في تأييد الثورة الإسلامية [عندما تكلَّلت بالنجاح]، ولكنه سرعان ما أعرض عن الثورة بعد أن كتب رسائل عديدة للإمام [طالبه فيها ببعض الأمور] ولم يحظ بأي إجابة عنها. </w:t>
      </w:r>
    </w:p>
    <w:p w:rsidR="00DA6CFB" w:rsidRPr="0092648A" w:rsidRDefault="00DA6CFB" w:rsidP="0092648A">
      <w:pPr>
        <w:widowControl w:val="0"/>
        <w:spacing w:line="216" w:lineRule="auto"/>
        <w:ind w:firstLine="284"/>
        <w:jc w:val="both"/>
        <w:rPr>
          <w:rStyle w:val="Char"/>
          <w:rtl/>
        </w:rPr>
      </w:pPr>
      <w:r w:rsidRPr="0092648A">
        <w:rPr>
          <w:rStyle w:val="Char"/>
          <w:rFonts w:hint="cs"/>
          <w:rtl/>
        </w:rPr>
        <w:t>بالنظر إلى ميول البرقعي الفكرية، كانت معارضةُ رجال الدين الشيعة له وتضييقهم عليه أمرًا مفهومًا وواضحًا، لذا سرعان ما ضاقت الأرض عليه بما رَحُبَتْ. وقد كتب رسالةً مفصلة إلى الإمام الخميني طلب منه فيها أن تُؤَمَّن له الحماية وأن يُعاد إليه مسجده الذي أُخِذ منه. وقال في رسالته تلك: «يقولون إن البرقعي سُنِّـيُّ، هذا في حين أنني لست سنيًّا بالمعنى الاصطلاحي، بل أنا مسلم وشيعي حقيقي». أمضى السيد أبو الفضل البرقعي خلال السنوات التي أعقبت الثورة مدةً من الزمن في السجن، ثم نُفِي إلى مدينة يزد، وبعد أن عاد من النفي اختار المُقَام والعيش في منطقة «كَنْ» [من ضواحي العاصمة طهران] عند ابنه [حسين البرقعي] إلى أن أدركته الوفاة فيها سنة 1370 هـ.ش (1991م) فدُفِن في تلك الضاحية في المقبرة المجاورة لقبر امامزاده شعيب.</w:t>
      </w:r>
      <w:r w:rsidRPr="006E28E9">
        <w:rPr>
          <w:rStyle w:val="Char"/>
          <w:rFonts w:ascii="Arabic11 BT" w:hAnsi="Arabic11 BT" w:cs="Arabic11 BT"/>
          <w:vertAlign w:val="superscript"/>
          <w:rtl/>
        </w:rPr>
        <w:footnoteReference w:id="300"/>
      </w:r>
    </w:p>
    <w:p w:rsidR="00DA6CFB" w:rsidRDefault="00DA6CFB" w:rsidP="0092648A">
      <w:pPr>
        <w:pStyle w:val="2"/>
        <w:rPr>
          <w:rtl/>
        </w:rPr>
      </w:pPr>
      <w:bookmarkStart w:id="32" w:name="_Toc444083819"/>
      <w:r>
        <w:rPr>
          <w:rFonts w:hint="cs"/>
          <w:rtl/>
        </w:rPr>
        <w:lastRenderedPageBreak/>
        <w:t>8. السيد صادق تقوي</w:t>
      </w:r>
      <w:bookmarkEnd w:id="32"/>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الدكتور السيد صادق تقوي (وُلِد سنة 1292 هـ.ش - الموافق لـ 1913م- في تجريش)، ابن السيد جعفر، شخصيةٌ أخرى من المثقفين المتنورين الدينيين في إيران في الفترة الماضية والذي كتب عددًا من الكتب التي ساهمت في عرض وجهات نظر التجديد الديني في عهد الحكم البهلوي. واصل دراسته منذ طفولته وحتى سنة 1316 هـ.ش، وبعد أن أنهى دراسة طب الأسنان في الجامعة، استخدمته وزارة الصحة عام 1320 هـ.ش إلى أن أُحيل إلى التقاعد عام 1347 هـ.ش [1968م]. كان وضعه المالي جيدًا نسبيًّا، وقد تأثّر منذ سن الثالثة عشرة بأفكار السيد أسد الله خرقاني وأصبح شيئاً فشيئاً ذا ميول وهابية ونزعة معادية للشيعة. عمل سنة 1323 هـ.ش مدة من الزمن ضمن حزب توده [الشيوعي] وكان مسؤولاً عن التنظيم في قرية «شهسوار» (تنكابن)، لكنه لم يلبث أن انفصل عن ذلك الحزب بعد بضعة أشهر. اعتقله جهاز المخابرات والأمن في عهد الشاه (السافاك) عدة مرات قبل الثورة بتهمة ادعائه النبوة! أو ادعائه المهدوية، لكنْ أُطلِق سراحه فيما بعد عندما أُخِذ إلى مشفى الأمراض العقلية وأُعْلِن أنه غير سليم من الناحية الذهنية. اتّخذ موقفاً ضد علماء الدين في الدفاع عن اللوائح الستة التي أعلنها الشاه، وكتب ضمن رسالة وجهها إلى قصر الشاه: «لابدّ أن تتم محاربة الرجعيين السود والمتزمّتين المتحجِّرين من المتديِّنين، بصورة فنية ومبدئية». يبدو أنه منذ سنة 1330 هـ.ش [1951م] بدأ بإصدار مجلة باسم </w:t>
      </w:r>
      <w:r w:rsidRPr="0092648A">
        <w:rPr>
          <w:rStyle w:val="Char8"/>
          <w:rFonts w:hint="cs"/>
          <w:rtl/>
        </w:rPr>
        <w:t>نهضت اسلام</w:t>
      </w:r>
      <w:r w:rsidRPr="0092648A">
        <w:rPr>
          <w:rStyle w:val="Char"/>
          <w:rFonts w:hint="cs"/>
          <w:rtl/>
        </w:rPr>
        <w:t xml:space="preserve"> استمرّت مدَّةً من الزمن في الأشهر الأخيرة من سنة 1330 هـ.ش [1951م] ونشر فيها، في معرض بيانه لمبادئ وأصول «</w:t>
      </w:r>
      <w:r w:rsidRPr="008C7124">
        <w:rPr>
          <w:rStyle w:val="Char7"/>
          <w:rFonts w:hint="cs"/>
          <w:rtl/>
        </w:rPr>
        <w:t>مدرسة الإسلام الجديدة</w:t>
      </w:r>
      <w:r w:rsidRPr="0092648A">
        <w:rPr>
          <w:rStyle w:val="Char"/>
          <w:rFonts w:hint="cs"/>
          <w:rtl/>
        </w:rPr>
        <w:t>»، بعض الأبحاث التفسيرية والسياسية أغلبها في الدفاع عن الدكتور مصدق.</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رشّح تقوي نفسه إلى عضوية مجلس الخبراء بعد الثورة الإسلامية ثم رشّح نفسه لمنصب رئاسة الجمهورية. وبعد ذلك سعى في نشر أفكاره إلى أن قُبِض عليه سنة 1368 هـ.ش [1989م] مِنْ قِبَلِ محكمة الثورة التي أدانته بسبب توسُّع نشاطاته وتحول نشاطاته الفكرية إلى نشاطات سياسية، ولصلته بالمناطق السنية في إيران. كان يُطْلِقُ على التنظيم الذي شكله عناوين مثل «جمعيت نهضت اسلام»، و «جمعيت هدايت ملى» [جمعية الهداية الوطنية]، و«گروه مهتديان» [جماعة المهتدين]. قال لي صديقه السيد الحاج قاسم التبريزي (الذي كان على معرفة به ويتردد إليه) عنه: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طبيب أسنان وكانت لديه عيادة في شارع گرگان (الشهيد نامجو) ظلَّ يعمل فيها حتى سنة 1364 هـ.ش [1985م]. في سنة 1330 هـ.ش [1951م] بدأ بنشر صحيفة </w:t>
      </w:r>
      <w:r w:rsidRPr="0092648A">
        <w:rPr>
          <w:rStyle w:val="Char8"/>
          <w:rFonts w:hint="cs"/>
          <w:rtl/>
        </w:rPr>
        <w:t>نهضت اسلام</w:t>
      </w:r>
      <w:r w:rsidRPr="0092648A">
        <w:rPr>
          <w:rStyle w:val="Char"/>
          <w:rFonts w:hint="cs"/>
          <w:rtl/>
        </w:rPr>
        <w:t xml:space="preserve">. كما </w:t>
      </w:r>
      <w:r w:rsidRPr="0092648A">
        <w:rPr>
          <w:rStyle w:val="Char"/>
          <w:rFonts w:hint="cs"/>
          <w:rtl/>
        </w:rPr>
        <w:lastRenderedPageBreak/>
        <w:t>طَبَعَتْ له مجلة «</w:t>
      </w:r>
      <w:r w:rsidRPr="0092648A">
        <w:rPr>
          <w:rStyle w:val="Char8"/>
          <w:rFonts w:hint="cs"/>
          <w:rtl/>
        </w:rPr>
        <w:t>رنگ</w:t>
      </w:r>
      <w:r w:rsidR="008C7124">
        <w:rPr>
          <w:rStyle w:val="Char8"/>
          <w:rFonts w:hint="cs"/>
          <w:rtl/>
        </w:rPr>
        <w:t>ی</w:t>
      </w:r>
      <w:r w:rsidRPr="0092648A">
        <w:rPr>
          <w:rStyle w:val="Char8"/>
          <w:rFonts w:hint="cs"/>
          <w:rtl/>
        </w:rPr>
        <w:t xml:space="preserve">ن </w:t>
      </w:r>
      <w:r w:rsidR="008C7124">
        <w:rPr>
          <w:rStyle w:val="Char8"/>
          <w:rFonts w:hint="cs"/>
          <w:rtl/>
        </w:rPr>
        <w:t>ک</w:t>
      </w:r>
      <w:r w:rsidRPr="0092648A">
        <w:rPr>
          <w:rStyle w:val="Char8"/>
          <w:rFonts w:hint="cs"/>
          <w:rtl/>
        </w:rPr>
        <w:t>مان</w:t>
      </w:r>
      <w:r w:rsidRPr="0092648A">
        <w:rPr>
          <w:rStyle w:val="Char"/>
          <w:rFonts w:hint="cs"/>
          <w:rtl/>
        </w:rPr>
        <w:t>» مقالات في ترجمة القرآن وتفسيره. كان يعتقد أنه منذ صدر الإسلام وحتى الآن لم يستطع أحد أن يفسر القرآن كما فسَّره هو. وكان العنوان الذي اختاره لجماعته هو «</w:t>
      </w:r>
      <w:r w:rsidRPr="008C7124">
        <w:rPr>
          <w:rStyle w:val="Char7"/>
          <w:rFonts w:hint="cs"/>
          <w:rtl/>
        </w:rPr>
        <w:t>جماعة المهتدين</w:t>
      </w:r>
      <w:r w:rsidRPr="0092648A">
        <w:rPr>
          <w:rStyle w:val="Char"/>
          <w:rFonts w:hint="cs"/>
          <w:rtl/>
        </w:rPr>
        <w:t>». كان يقيم يوم الجمعة صلاة الجمعة في عيادته ويرى وجوبها العيني [في كل العصور]. كان عدد المشاركين معه في تلك الصلاة يتراوح بين 6 إلى 8 أشخاص. كانوا يبسطون تحتهم قماشة بيضاء ولا يضعون التربة [التي يضعها الشيعة عادة للسجود عليها]. كان تَقَوِي يُلقي خطبة الجمعة ويؤمُّ المُصلِّين فيها. كان يعتقد أن لكل زمنٍ إمام زمانه الخاص به، وأنه هو إمام زمان هذا العصر.</w:t>
      </w:r>
      <w:r w:rsidRPr="006E28E9">
        <w:rPr>
          <w:rStyle w:val="Char"/>
          <w:rFonts w:ascii="Arabic11 BT" w:hAnsi="Arabic11 BT" w:cs="Arabic11 BT"/>
          <w:vertAlign w:val="superscript"/>
          <w:rtl/>
        </w:rPr>
        <w:footnoteReference w:id="301"/>
      </w:r>
      <w:r w:rsidRPr="0092648A">
        <w:rPr>
          <w:rStyle w:val="Char"/>
          <w:rFonts w:hint="cs"/>
          <w:rtl/>
        </w:rPr>
        <w:t xml:space="preserve"> وكان يقول إنه لا فرق بين الإمام علي </w:t>
      </w:r>
      <w:r w:rsidR="00924380" w:rsidRPr="00924380">
        <w:rPr>
          <w:rStyle w:val="Char"/>
          <w:rFonts w:cs="CTraditional Arabic" w:hint="cs"/>
          <w:rtl/>
        </w:rPr>
        <w:t>÷</w:t>
      </w:r>
      <w:r w:rsidRPr="0092648A">
        <w:rPr>
          <w:rStyle w:val="Char"/>
          <w:rFonts w:hint="cs"/>
          <w:rtl/>
        </w:rPr>
        <w:t xml:space="preserve"> وعمر [بن الخطاب]، فكلاهما كان خليفةً للمسلمين ويجب السير في طريق الوحدة بين المسلمين. كان الدكتور تقوي على صلة بالسيد أبي الفضل البرقعي وبالسيد يد الله بختياري نجاد (مؤلف </w:t>
      </w:r>
      <w:r w:rsidRPr="0092648A">
        <w:rPr>
          <w:rStyle w:val="Char8"/>
          <w:rFonts w:hint="cs"/>
          <w:rtl/>
        </w:rPr>
        <w:t>تفس</w:t>
      </w:r>
      <w:r w:rsidR="008C7124">
        <w:rPr>
          <w:rStyle w:val="Char8"/>
          <w:rFonts w:hint="cs"/>
          <w:rtl/>
        </w:rPr>
        <w:t>ی</w:t>
      </w:r>
      <w:r w:rsidRPr="0092648A">
        <w:rPr>
          <w:rStyle w:val="Char8"/>
          <w:rFonts w:hint="cs"/>
          <w:rtl/>
        </w:rPr>
        <w:t>ر القرآن</w:t>
      </w:r>
      <w:r w:rsidRPr="0092648A">
        <w:rPr>
          <w:rStyle w:val="Char"/>
          <w:rFonts w:hint="cs"/>
          <w:rtl/>
        </w:rPr>
        <w:t xml:space="preserve"> بصورة منشورات وكاتب إسلامي عرفته شخصياً وهو مؤلف كتاب «</w:t>
      </w:r>
      <w:r w:rsidRPr="0092648A">
        <w:rPr>
          <w:rStyle w:val="Char8"/>
          <w:rFonts w:hint="cs"/>
          <w:rtl/>
        </w:rPr>
        <w:t>هوچ</w:t>
      </w:r>
      <w:r w:rsidR="008C7124">
        <w:rPr>
          <w:rStyle w:val="Char8"/>
          <w:rFonts w:hint="cs"/>
          <w:rtl/>
        </w:rPr>
        <w:t>ی</w:t>
      </w:r>
      <w:r w:rsidRPr="0092648A">
        <w:rPr>
          <w:rStyle w:val="Char8"/>
          <w:rFonts w:hint="cs"/>
          <w:rtl/>
        </w:rPr>
        <w:t>ان وعوام فر</w:t>
      </w:r>
      <w:r w:rsidR="008C7124">
        <w:rPr>
          <w:rStyle w:val="Char8"/>
          <w:rFonts w:hint="cs"/>
          <w:rtl/>
        </w:rPr>
        <w:t>ی</w:t>
      </w:r>
      <w:r w:rsidRPr="0092648A">
        <w:rPr>
          <w:rStyle w:val="Char8"/>
          <w:rFonts w:hint="cs"/>
          <w:rtl/>
        </w:rPr>
        <w:t>بان</w:t>
      </w:r>
      <w:r w:rsidRPr="0092648A">
        <w:rPr>
          <w:rStyle w:val="Char"/>
          <w:rFonts w:hint="cs"/>
          <w:rtl/>
        </w:rPr>
        <w:t xml:space="preserve">» [المغالِطون وخادعو العوام] ويقيم الآن في أمريكا)، وبالسيد مصطفى الحسيني الطباطبائي، هذا رغم أنه لم يكن يتفق معهم أو يقبل بهم تمامًا، بل كان يكتب أحيانًا أشياءَ ضدَّهم. </w:t>
      </w:r>
    </w:p>
    <w:p w:rsidR="00DA6CFB" w:rsidRPr="001809AD" w:rsidRDefault="00DA6CFB" w:rsidP="0092648A">
      <w:pPr>
        <w:widowControl w:val="0"/>
        <w:spacing w:line="216" w:lineRule="auto"/>
        <w:ind w:firstLine="284"/>
        <w:jc w:val="both"/>
        <w:rPr>
          <w:rStyle w:val="Char"/>
          <w:spacing w:val="-2"/>
          <w:rtl/>
        </w:rPr>
      </w:pPr>
      <w:r w:rsidRPr="001809AD">
        <w:rPr>
          <w:rStyle w:val="Char"/>
          <w:rFonts w:hint="cs"/>
          <w:spacing w:val="-2"/>
          <w:rtl/>
        </w:rPr>
        <w:t xml:space="preserve">لم يكن الدكتور تقوي يعتقد بالمرجعية [أي مراجع التقليد] الشيعية ولا بعلماء الدين الشيعة ولا بالحوزات العلمية، وكان يقول إن هؤلاء كلهم ابتعدوا عن الإسلام. وكان يعتبر الإسلام دينًا علميًّا ويقول: إن الدين بسيط، ويمكن لكل إنسان أن يتعلم المعارف الإسلامية ويصبح ذا رأي فيها. وكان من الناحية الأخلاقية شخصًا عنيفًا وسيء الأخلاق يُحقِّر الآخرين ويغضب أثناء النقاش. كتب بعد الثورة بعض الأمور ضدّ تفسير الإمام الخميني لسورة الحمد، وكان يتكلّم في مجالسه الخاصّة ضدّ الثورة وعلماء الدين. رشَّح نفسه مرَّةً، كما ذكرتُ، لمنصب رئاسة الجمهورية، وسافر مرَّةً سنة 1364 هـ.ش [1985م] أو بعدها إلى مدينة زاهدان، وعلى إثرها تمَّ اعتقاله وإدانته». (إلى هنا انتهى كلام السيد الحاج قاسم التبريزي).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الجدير بالذكر أن تَقَوي وصف نفسه على غلاف كتابه «</w:t>
      </w:r>
      <w:r w:rsidRPr="0092648A">
        <w:rPr>
          <w:rStyle w:val="Char8"/>
          <w:rFonts w:hint="cs"/>
          <w:rtl/>
        </w:rPr>
        <w:t>مواد أساس</w:t>
      </w:r>
      <w:r w:rsidR="008C7124">
        <w:rPr>
          <w:rStyle w:val="Char8"/>
          <w:rFonts w:hint="cs"/>
          <w:rtl/>
        </w:rPr>
        <w:t>ی</w:t>
      </w:r>
      <w:r w:rsidRPr="0092648A">
        <w:rPr>
          <w:rStyle w:val="Char8"/>
          <w:rFonts w:hint="cs"/>
          <w:rtl/>
        </w:rPr>
        <w:t xml:space="preserve"> ح</w:t>
      </w:r>
      <w:r w:rsidR="008C7124">
        <w:rPr>
          <w:rStyle w:val="Char8"/>
          <w:rFonts w:hint="cs"/>
          <w:rtl/>
        </w:rPr>
        <w:t>ک</w:t>
      </w:r>
      <w:r w:rsidRPr="0092648A">
        <w:rPr>
          <w:rStyle w:val="Char8"/>
          <w:rFonts w:hint="cs"/>
          <w:rtl/>
        </w:rPr>
        <w:t>ومت در إسلام</w:t>
      </w:r>
      <w:r w:rsidRPr="0092648A">
        <w:rPr>
          <w:rStyle w:val="Char"/>
          <w:rFonts w:hint="cs"/>
          <w:rtl/>
        </w:rPr>
        <w:t xml:space="preserve">» [المواد الأساسية للحكومة في الإسلام] (طبع سنة 1358 هـ.ش الموافق لـ 1979م) بزعيم الجمعية </w:t>
      </w:r>
      <w:r w:rsidRPr="0092648A">
        <w:rPr>
          <w:rStyle w:val="Char"/>
          <w:rFonts w:hint="cs"/>
          <w:rtl/>
        </w:rPr>
        <w:lastRenderedPageBreak/>
        <w:t>الإسلامية للهداية الوطنية.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ما يمكن قوله حول الشخصية الفكرية لصادق تقوي إنه كان واحداً من المثقفين الدينيين المتنوِّرين في هذا العصر وكان يسعى إلى إيجاد طريق لعودة الدين إلى الساحة الاجتماعية في إيران، معتمدًا على المكتشفات العلمية وتطبيقها على المسائل الدينية، ومستلهمًا أيضًا من المتجدِّدين العصريين من مفكري أهل السنة.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إنني أدرك أن عدد هذا الجيل من المثقفين المتنورين الدينيين في هذا العصر، أي في عصر رضا شاه حتى نهاية حكم ابنه محمد رضا شاه البهلوي وقيام الجمهورية الإسلامية، لم يكن بالقليل، وأنهم وجدوا أرضية خصبة لنشر أفكارهم بفضل الجو السياسي الذي كان سائداً في البلاد في تلك الفترة، وكانت مؤلفاتهم تُطبع إما بصورة مستقلة أو كمقالات ضمن المجلات والمطبوعات التي كانت تصدر في تلك الفترة، وأن معظمهم كان لديه نوع من الميل إلى التيار الوهّابي - السنّي.</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جزء من اهتمام هؤلاء الأفراد مُنْصبٌّ على الجيل الجديد من المثقفين الدارسين الذين كانوا يرون أن الدين يتعارض مع العلم، فكان سعي أولئك الأفراد يتركز حول حَلِّ هذا التعارض وإزالته، وأن يقلِّصوا تلك الفجوة أو التباعد الذي وقع بين جيل المثقَّفين والدين ويعيدوا الجيل الجديد مجدَّداً إلى حظيرة الدِّين والتديُّن. </w:t>
      </w:r>
    </w:p>
    <w:p w:rsidR="00DA6CFB" w:rsidRPr="0092648A" w:rsidRDefault="00DA6CFB" w:rsidP="0092648A">
      <w:pPr>
        <w:widowControl w:val="0"/>
        <w:spacing w:line="216" w:lineRule="auto"/>
        <w:ind w:firstLine="284"/>
        <w:jc w:val="both"/>
        <w:rPr>
          <w:rStyle w:val="Char"/>
          <w:rtl/>
        </w:rPr>
      </w:pPr>
      <w:r w:rsidRPr="0092648A">
        <w:rPr>
          <w:rStyle w:val="Char"/>
          <w:rFonts w:hint="cs"/>
          <w:rtl/>
        </w:rPr>
        <w:t>يجب أن نعتبر السيد صادق تَقَوي أحد أفراد الجيل الثاني من طلاب الإصلاح والتصحيح الديني الذين جاؤوا بعد جيل شريعت سنگلجي وخرقاني وسائر دعاة الإصلاح والتصحيح الديني في عهد رضا خان، وأن هذا الجيل الثاني خطى خطوات متقدمة أكثر من سابقيه - إلى حدٍّ ما - وذلك بحسب مقتضيات ظرفهم الزماني، وأظهر رموز هذا التيار بشكل متزامن بضعة ميول ونزعات جديدة في ساحة فكرهم الديني.</w:t>
      </w:r>
    </w:p>
    <w:p w:rsidR="00DA6CFB" w:rsidRPr="0092648A" w:rsidRDefault="00DA6CFB" w:rsidP="001809AD">
      <w:pPr>
        <w:pStyle w:val="a7"/>
        <w:rPr>
          <w:rStyle w:val="Char"/>
          <w:rtl/>
        </w:rPr>
      </w:pPr>
      <w:r w:rsidRPr="0092648A">
        <w:rPr>
          <w:rStyle w:val="Char"/>
          <w:rFonts w:hint="cs"/>
          <w:rtl/>
        </w:rPr>
        <w:t>اتَّصف جميع أفراد هذا التيار تقريباً بالخصائص الآتية: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 - لم يكونوا مصرين على اعتقادهم بالتشيع بل كانوا يسعون إلى التحرك في إطار أكثر انفتاحًا وحريّةً من الأُطُر الفكرية- الفقهية السائدة في التشيع.</w:t>
      </w:r>
    </w:p>
    <w:p w:rsidR="00DA6CFB" w:rsidRPr="001809AD" w:rsidRDefault="00DA6CFB" w:rsidP="0092648A">
      <w:pPr>
        <w:widowControl w:val="0"/>
        <w:spacing w:line="216" w:lineRule="auto"/>
        <w:ind w:firstLine="284"/>
        <w:jc w:val="both"/>
        <w:rPr>
          <w:rStyle w:val="Char"/>
          <w:spacing w:val="-4"/>
          <w:rtl/>
        </w:rPr>
      </w:pPr>
      <w:r w:rsidRPr="001809AD">
        <w:rPr>
          <w:rStyle w:val="Char"/>
          <w:rFonts w:hint="cs"/>
          <w:spacing w:val="-4"/>
          <w:rtl/>
        </w:rPr>
        <w:t>- كانوا يسعون إلى جعل آيات القرآن المرتَكَز الوحيد لمبانيهم الفكرية وتحليلاتهم، وكانوا يتجنَّبون الاستناد إلى الحديث أو إلى العقائد الفقهية السائدة. كان يكفي لديهم أن يروا أن موضوعاً ما يخالف القرآن الكريم حتى يرفضوه ويردُّوه جملةً وتفصيلًا، حتى ولو وردت فيه مئات الأحاديث.</w:t>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كانوا يسعون إلى بيان المطالب والموضوعات الدينية بلغة العلم وكانوا يستفيدون من معطيات العلم الحديث في تحكيم أسس الدين في الحالات التي كانت توجد فيها إمكانية للتوافق بين العلم والدين.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 كان محور مؤلفات هذا الفريق وكتاباته يدور حول أن الإسلام قد ابْتُلي [عبر الزمن] بالخرافات والتحريفات وأنه لابد من تطهيره من لوث تلك الخرافات. طرح السيد تقوي تقسيم الإسلام إلى نوعين: الإسلام القديم والإسلام الجديد، واعتبر الإسلام القديم إسلامًا مُحَرَّفًا؛ فإذا سُئِل ما هو الإسلام الجديد إذن؟ قال: إنه دين الإسلام الحقيقي... الذي حرفته أهواء زعماء الأديان ومآربهم الشخصية عبر التاريخ مرات عديدة، وتحول من صورته النقية الصحيحة الأولى إلى صورة خرافية مشوهة ومنحطَّة... وقد اكتسبنا اليوم الإسلامَ الحقيقيَّ والواقعيَّ ونقوم بتجديده، ولما كانت مبادئنا العلمية لأجل كشف حقائق الإسلام مبادئ جديدة، ومن الجهة الأخرى كان زعماء السوء قد شوهوا الإسلام وأساؤوا إلى سمعته، اضطررنا إلى تسمية هذا الدين النقي والسامي الذي اعتنقناه باسم </w:t>
      </w:r>
      <w:r w:rsidRPr="0092648A">
        <w:rPr>
          <w:rStyle w:val="Char8"/>
          <w:rFonts w:hint="cs"/>
          <w:rtl/>
        </w:rPr>
        <w:t>د</w:t>
      </w:r>
      <w:r w:rsidR="008C7124">
        <w:rPr>
          <w:rStyle w:val="Char8"/>
          <w:rFonts w:hint="cs"/>
          <w:rtl/>
        </w:rPr>
        <w:t>ی</w:t>
      </w:r>
      <w:r w:rsidRPr="0092648A">
        <w:rPr>
          <w:rStyle w:val="Char8"/>
          <w:rFonts w:hint="cs"/>
          <w:rtl/>
        </w:rPr>
        <w:t>ن الإسلام الجد</w:t>
      </w:r>
      <w:r w:rsidR="008C7124">
        <w:rPr>
          <w:rStyle w:val="Char8"/>
          <w:rFonts w:hint="cs"/>
          <w:rtl/>
        </w:rPr>
        <w:t>ی</w:t>
      </w:r>
      <w:r w:rsidRPr="0092648A">
        <w:rPr>
          <w:rStyle w:val="Char8"/>
          <w:rFonts w:hint="cs"/>
          <w:rtl/>
        </w:rPr>
        <w:t>د</w:t>
      </w:r>
      <w:r w:rsidRPr="0092648A">
        <w:rPr>
          <w:rStyle w:val="Char"/>
          <w:rFonts w:hint="cs"/>
          <w:rtl/>
        </w:rPr>
        <w:t>.</w:t>
      </w:r>
      <w:r w:rsidRPr="006E28E9">
        <w:rPr>
          <w:rStyle w:val="Char"/>
          <w:rFonts w:ascii="Arabic11 BT" w:hAnsi="Arabic11 BT" w:cs="Arabic11 BT"/>
          <w:vertAlign w:val="superscript"/>
          <w:rtl/>
        </w:rPr>
        <w:footnoteReference w:id="302"/>
      </w:r>
    </w:p>
    <w:p w:rsidR="00DA6CFB" w:rsidRPr="0092648A" w:rsidRDefault="00DA6CFB" w:rsidP="0092648A">
      <w:pPr>
        <w:widowControl w:val="0"/>
        <w:spacing w:line="216" w:lineRule="auto"/>
        <w:ind w:firstLine="284"/>
        <w:jc w:val="both"/>
        <w:rPr>
          <w:rStyle w:val="Char"/>
          <w:rtl/>
        </w:rPr>
      </w:pPr>
      <w:r w:rsidRPr="0092648A">
        <w:rPr>
          <w:rStyle w:val="Char"/>
          <w:rFonts w:hint="cs"/>
          <w:rtl/>
        </w:rPr>
        <w:t>و</w:t>
      </w:r>
      <w:r w:rsidRPr="0092648A">
        <w:rPr>
          <w:rStyle w:val="Char"/>
          <w:rtl/>
        </w:rPr>
        <w:t xml:space="preserve">ذكر في هذا الموضع ذاته </w:t>
      </w:r>
      <w:r w:rsidRPr="0092648A">
        <w:rPr>
          <w:rStyle w:val="Char"/>
          <w:rFonts w:hint="cs"/>
          <w:rtl/>
        </w:rPr>
        <w:t xml:space="preserve">أيضًا </w:t>
      </w:r>
      <w:r w:rsidRPr="0092648A">
        <w:rPr>
          <w:rStyle w:val="Char"/>
          <w:rtl/>
        </w:rPr>
        <w:t>أن القرآن كافٍ في بيان العقائد الإسلامية، واعتبر أن استدلال المتظاهرين بالعلم من رجال الدين بأن عدم ذكر تفاصيل الصلاة في القرآن يدل على أن «القرآن وحده لا يكفي و</w:t>
      </w:r>
      <w:r w:rsidRPr="0092648A">
        <w:rPr>
          <w:rStyle w:val="Char"/>
          <w:rFonts w:hint="cs"/>
          <w:rtl/>
        </w:rPr>
        <w:t xml:space="preserve">أنه </w:t>
      </w:r>
      <w:r w:rsidRPr="0092648A">
        <w:rPr>
          <w:rStyle w:val="Char"/>
          <w:rtl/>
        </w:rPr>
        <w:t>لابد لنا من الرجوع إلى الروايات أيضًا» استدلال غير صحيح، ويذكر ت</w:t>
      </w:r>
      <w:r w:rsidRPr="0092648A">
        <w:rPr>
          <w:rStyle w:val="Char"/>
          <w:rFonts w:hint="cs"/>
          <w:rtl/>
        </w:rPr>
        <w:t>َ</w:t>
      </w:r>
      <w:r w:rsidRPr="0092648A">
        <w:rPr>
          <w:rStyle w:val="Char"/>
          <w:rtl/>
        </w:rPr>
        <w:t>ق</w:t>
      </w:r>
      <w:r w:rsidRPr="0092648A">
        <w:rPr>
          <w:rStyle w:val="Char"/>
          <w:rFonts w:hint="cs"/>
          <w:rtl/>
        </w:rPr>
        <w:t>َ</w:t>
      </w:r>
      <w:r w:rsidRPr="0092648A">
        <w:rPr>
          <w:rStyle w:val="Char"/>
          <w:rtl/>
        </w:rPr>
        <w:t xml:space="preserve">وي بأن طرح موضوع المتشابهات لا </w:t>
      </w:r>
      <w:r w:rsidRPr="0092648A">
        <w:rPr>
          <w:rStyle w:val="Char"/>
          <w:rFonts w:hint="cs"/>
          <w:rtl/>
        </w:rPr>
        <w:t xml:space="preserve">يقوى على ردِّ </w:t>
      </w:r>
      <w:r w:rsidRPr="0092648A">
        <w:rPr>
          <w:rStyle w:val="Char"/>
          <w:rtl/>
        </w:rPr>
        <w:t>استدلا</w:t>
      </w:r>
      <w:r w:rsidRPr="0092648A">
        <w:rPr>
          <w:rStyle w:val="Char"/>
          <w:rFonts w:hint="cs"/>
          <w:rtl/>
        </w:rPr>
        <w:t>له</w:t>
      </w:r>
      <w:r w:rsidRPr="0092648A">
        <w:rPr>
          <w:rStyle w:val="Char"/>
          <w:rtl/>
        </w:rPr>
        <w:t xml:space="preserve"> </w:t>
      </w:r>
      <w:r w:rsidRPr="0092648A">
        <w:rPr>
          <w:rStyle w:val="Char"/>
          <w:rFonts w:hint="cs"/>
          <w:rtl/>
        </w:rPr>
        <w:t xml:space="preserve">على </w:t>
      </w:r>
      <w:r w:rsidRPr="0092648A">
        <w:rPr>
          <w:rStyle w:val="Char"/>
          <w:rtl/>
        </w:rPr>
        <w:t>كفاية القرآن، لأنه تحدث في كتابه «</w:t>
      </w:r>
      <w:r w:rsidRPr="008C7124">
        <w:rPr>
          <w:rStyle w:val="Char7"/>
          <w:rtl/>
        </w:rPr>
        <w:t>سفينة نجاة البشرية</w:t>
      </w:r>
      <w:r w:rsidRPr="0092648A">
        <w:rPr>
          <w:rStyle w:val="Char"/>
          <w:rtl/>
        </w:rPr>
        <w:t>» بالتفصيل عن المتشابهات وبي</w:t>
      </w:r>
      <w:r w:rsidRPr="0092648A">
        <w:rPr>
          <w:rStyle w:val="Char"/>
          <w:rFonts w:hint="cs"/>
          <w:rtl/>
        </w:rPr>
        <w:t>َّ</w:t>
      </w:r>
      <w:r w:rsidRPr="0092648A">
        <w:rPr>
          <w:rStyle w:val="Char"/>
          <w:rtl/>
        </w:rPr>
        <w:t xml:space="preserve">ن أنه </w:t>
      </w:r>
      <w:r w:rsidRPr="0092648A">
        <w:rPr>
          <w:rStyle w:val="Char"/>
          <w:rFonts w:hint="cs"/>
          <w:rtl/>
        </w:rPr>
        <w:t>«</w:t>
      </w:r>
      <w:r w:rsidRPr="0092648A">
        <w:rPr>
          <w:rStyle w:val="Char"/>
          <w:rtl/>
        </w:rPr>
        <w:t xml:space="preserve">لا توجد في القرآن أي آية متشابهة سوى عدد محدود من الآيات الرمزية كالآيات التسع والعشرين للحروف المقطعة التي جاءت في مطلع بعض سور القرآن، وما عدا ذلك من آيات القرآن </w:t>
      </w:r>
      <w:r w:rsidRPr="0092648A">
        <w:rPr>
          <w:rStyle w:val="Char"/>
          <w:rFonts w:hint="cs"/>
          <w:rtl/>
        </w:rPr>
        <w:t>الباقية يُعَدُّ كلُّه</w:t>
      </w:r>
      <w:r w:rsidRPr="0092648A">
        <w:rPr>
          <w:rStyle w:val="Char"/>
          <w:rtl/>
        </w:rPr>
        <w:t xml:space="preserve"> من المحكم</w:t>
      </w:r>
      <w:r w:rsidRPr="0092648A">
        <w:rPr>
          <w:rStyle w:val="Char"/>
          <w:rFonts w:hint="cs"/>
          <w:rtl/>
        </w:rPr>
        <w:t>،</w:t>
      </w:r>
      <w:r w:rsidRPr="0092648A">
        <w:rPr>
          <w:rStyle w:val="Char"/>
          <w:rtl/>
        </w:rPr>
        <w:t xml:space="preserve"> </w:t>
      </w:r>
      <w:r w:rsidRPr="0092648A">
        <w:rPr>
          <w:rStyle w:val="Char"/>
          <w:rFonts w:hint="cs"/>
          <w:rtl/>
        </w:rPr>
        <w:t xml:space="preserve">فهو </w:t>
      </w:r>
      <w:r w:rsidRPr="0092648A">
        <w:rPr>
          <w:rStyle w:val="Char"/>
          <w:rtl/>
        </w:rPr>
        <w:t>واضح بي</w:t>
      </w:r>
      <w:r w:rsidRPr="0092648A">
        <w:rPr>
          <w:rStyle w:val="Char"/>
          <w:rFonts w:hint="cs"/>
          <w:rtl/>
        </w:rPr>
        <w:t>ِّ</w:t>
      </w:r>
      <w:r w:rsidRPr="0092648A">
        <w:rPr>
          <w:rStyle w:val="Char"/>
          <w:rtl/>
        </w:rPr>
        <w:t>ن</w:t>
      </w:r>
      <w:r w:rsidRPr="0092648A">
        <w:rPr>
          <w:rStyle w:val="Char"/>
          <w:rFonts w:hint="cs"/>
          <w:rtl/>
        </w:rPr>
        <w:t>ٌ</w:t>
      </w:r>
      <w:r w:rsidRPr="0092648A">
        <w:rPr>
          <w:rStyle w:val="Char"/>
          <w:rtl/>
        </w:rPr>
        <w:t xml:space="preserve"> </w:t>
      </w:r>
      <w:r w:rsidRPr="0092648A">
        <w:rPr>
          <w:rStyle w:val="Char"/>
          <w:rFonts w:hint="cs"/>
          <w:rtl/>
        </w:rPr>
        <w:t xml:space="preserve">يفهمه </w:t>
      </w:r>
      <w:r w:rsidRPr="0092648A">
        <w:rPr>
          <w:rStyle w:val="Char"/>
          <w:rtl/>
        </w:rPr>
        <w:t>كل من أراد أن يهتدي ب</w:t>
      </w:r>
      <w:r w:rsidRPr="0092648A">
        <w:rPr>
          <w:rStyle w:val="Char"/>
          <w:rFonts w:hint="cs"/>
          <w:rtl/>
        </w:rPr>
        <w:t>القرآن.</w:t>
      </w:r>
      <w:r w:rsidRPr="006E28E9">
        <w:rPr>
          <w:rStyle w:val="Char"/>
          <w:rFonts w:ascii="Arabic11 BT" w:hAnsi="Arabic11 BT" w:cs="Arabic11 BT"/>
          <w:vertAlign w:val="superscript"/>
          <w:rtl/>
        </w:rPr>
        <w:footnoteReference w:id="303"/>
      </w:r>
    </w:p>
    <w:p w:rsidR="00DA6CFB" w:rsidRPr="0092648A" w:rsidRDefault="00DA6CFB" w:rsidP="001809AD">
      <w:pPr>
        <w:widowControl w:val="0"/>
        <w:spacing w:line="211" w:lineRule="auto"/>
        <w:ind w:firstLine="284"/>
        <w:jc w:val="both"/>
        <w:rPr>
          <w:rStyle w:val="Char"/>
          <w:rtl/>
        </w:rPr>
      </w:pPr>
      <w:r w:rsidRPr="0092648A">
        <w:rPr>
          <w:rStyle w:val="Char"/>
          <w:rtl/>
        </w:rPr>
        <w:t xml:space="preserve">وقد قلنا فيما سبق </w:t>
      </w:r>
      <w:r w:rsidRPr="0092648A">
        <w:rPr>
          <w:rStyle w:val="Char"/>
          <w:rFonts w:hint="cs"/>
          <w:rtl/>
        </w:rPr>
        <w:t>إ</w:t>
      </w:r>
      <w:r w:rsidRPr="0092648A">
        <w:rPr>
          <w:rStyle w:val="Char"/>
          <w:rtl/>
        </w:rPr>
        <w:t xml:space="preserve">ن شريعت سنكلجي وخرقاني تحدثا بالتفصيل عن موضوع المتشابهات بمثل </w:t>
      </w:r>
      <w:r w:rsidRPr="0092648A">
        <w:rPr>
          <w:rStyle w:val="Char"/>
          <w:rtl/>
        </w:rPr>
        <w:lastRenderedPageBreak/>
        <w:t xml:space="preserve">هذا </w:t>
      </w:r>
      <w:r w:rsidRPr="0092648A">
        <w:rPr>
          <w:rStyle w:val="Char"/>
          <w:rFonts w:hint="cs"/>
          <w:rtl/>
        </w:rPr>
        <w:t>النحو</w:t>
      </w:r>
      <w:r w:rsidRPr="0092648A">
        <w:rPr>
          <w:rStyle w:val="Char"/>
          <w:rtl/>
        </w:rPr>
        <w:t xml:space="preserve">، وأنهم جميعاً سعوا إلى تقليص </w:t>
      </w:r>
      <w:r w:rsidRPr="0092648A">
        <w:rPr>
          <w:rStyle w:val="Char"/>
          <w:rFonts w:hint="cs"/>
          <w:rtl/>
        </w:rPr>
        <w:t>دائرة</w:t>
      </w:r>
      <w:r w:rsidRPr="0092648A">
        <w:rPr>
          <w:rStyle w:val="Char"/>
          <w:rtl/>
        </w:rPr>
        <w:t xml:space="preserve"> المتشابهات كي لا تواجه نظريتهم حول كفاية القرآن لمعرفة الدين أي مشكلة.</w:t>
      </w:r>
    </w:p>
    <w:p w:rsidR="00DA6CFB" w:rsidRPr="0092648A" w:rsidRDefault="00DA6CFB" w:rsidP="001809AD">
      <w:pPr>
        <w:widowControl w:val="0"/>
        <w:spacing w:line="211" w:lineRule="auto"/>
        <w:ind w:firstLine="284"/>
        <w:jc w:val="both"/>
        <w:rPr>
          <w:rStyle w:val="Char"/>
          <w:rtl/>
        </w:rPr>
      </w:pPr>
      <w:r w:rsidRPr="0092648A">
        <w:rPr>
          <w:rStyle w:val="Char"/>
          <w:rtl/>
        </w:rPr>
        <w:t>يمكننا أن نقول بشأن ت</w:t>
      </w:r>
      <w:r w:rsidRPr="0092648A">
        <w:rPr>
          <w:rStyle w:val="Char"/>
          <w:rFonts w:hint="cs"/>
          <w:rtl/>
        </w:rPr>
        <w:t>َ</w:t>
      </w:r>
      <w:r w:rsidRPr="0092648A">
        <w:rPr>
          <w:rStyle w:val="Char"/>
          <w:rtl/>
        </w:rPr>
        <w:t>ق</w:t>
      </w:r>
      <w:r w:rsidRPr="0092648A">
        <w:rPr>
          <w:rStyle w:val="Char"/>
          <w:rFonts w:hint="cs"/>
          <w:rtl/>
        </w:rPr>
        <w:t>َ</w:t>
      </w:r>
      <w:r w:rsidRPr="0092648A">
        <w:rPr>
          <w:rStyle w:val="Char"/>
          <w:rtl/>
        </w:rPr>
        <w:t>و</w:t>
      </w:r>
      <w:r w:rsidRPr="0092648A">
        <w:rPr>
          <w:rStyle w:val="Char"/>
          <w:rFonts w:hint="cs"/>
          <w:rtl/>
        </w:rPr>
        <w:t>ي</w:t>
      </w:r>
      <w:r w:rsidRPr="0092648A">
        <w:rPr>
          <w:rStyle w:val="Char"/>
          <w:rtl/>
        </w:rPr>
        <w:t xml:space="preserve"> بشكل خاص، </w:t>
      </w:r>
      <w:r w:rsidRPr="0092648A">
        <w:rPr>
          <w:rStyle w:val="Char"/>
          <w:rFonts w:hint="cs"/>
          <w:rtl/>
        </w:rPr>
        <w:t>إ</w:t>
      </w:r>
      <w:r w:rsidRPr="0092648A">
        <w:rPr>
          <w:rStyle w:val="Char"/>
          <w:rtl/>
        </w:rPr>
        <w:t xml:space="preserve">نه اقترب من تفكير أهل السنة، وأنه كان يميل إلى حد كبير في استنباطاته الدينية وكذلك في فكره السياسي إلى </w:t>
      </w:r>
      <w:r w:rsidRPr="0092648A">
        <w:rPr>
          <w:rStyle w:val="Char"/>
          <w:rFonts w:hint="cs"/>
          <w:rtl/>
        </w:rPr>
        <w:t xml:space="preserve">آراء ومنهج </w:t>
      </w:r>
      <w:r w:rsidRPr="0092648A">
        <w:rPr>
          <w:rStyle w:val="Char"/>
          <w:rtl/>
        </w:rPr>
        <w:t>أهل السنة ، والشاهد على ذلك أنه اعتبر أن الأمر الذي يمكن الاستناد إليه ما عدا القرآن في استنباط الأحكام</w:t>
      </w:r>
      <w:r w:rsidRPr="0092648A">
        <w:rPr>
          <w:rStyle w:val="Char"/>
          <w:rFonts w:hint="cs"/>
          <w:rtl/>
        </w:rPr>
        <w:t>،</w:t>
      </w:r>
      <w:r w:rsidRPr="0092648A">
        <w:rPr>
          <w:rStyle w:val="Char"/>
          <w:rtl/>
        </w:rPr>
        <w:t xml:space="preserve"> </w:t>
      </w:r>
      <w:r w:rsidRPr="0092648A">
        <w:rPr>
          <w:rStyle w:val="Char"/>
          <w:rFonts w:hint="cs"/>
          <w:rtl/>
        </w:rPr>
        <w:t xml:space="preserve">هو </w:t>
      </w:r>
      <w:r w:rsidRPr="0092648A">
        <w:rPr>
          <w:rStyle w:val="Char"/>
          <w:rtl/>
        </w:rPr>
        <w:t>عمل أهل مكة والمدينة</w:t>
      </w:r>
      <w:r w:rsidRPr="0092648A">
        <w:rPr>
          <w:rStyle w:val="Char"/>
          <w:rFonts w:hint="cs"/>
          <w:rtl/>
        </w:rPr>
        <w:t xml:space="preserve"> الحالي،</w:t>
      </w:r>
      <w:r w:rsidRPr="0092648A">
        <w:rPr>
          <w:rStyle w:val="Char"/>
          <w:rtl/>
        </w:rPr>
        <w:t xml:space="preserve"> </w:t>
      </w:r>
      <w:r w:rsidRPr="0092648A">
        <w:rPr>
          <w:rStyle w:val="Char"/>
          <w:rFonts w:hint="cs"/>
          <w:rtl/>
        </w:rPr>
        <w:t>و</w:t>
      </w:r>
      <w:r w:rsidRPr="0092648A">
        <w:rPr>
          <w:rStyle w:val="Char"/>
          <w:rtl/>
        </w:rPr>
        <w:t xml:space="preserve">قال: «لحسن الحظ منذ زمن </w:t>
      </w:r>
      <w:r w:rsidRPr="0092648A">
        <w:rPr>
          <w:rStyle w:val="Char"/>
          <w:rFonts w:hint="cs"/>
          <w:rtl/>
        </w:rPr>
        <w:t>نب</w:t>
      </w:r>
      <w:r w:rsidRPr="0092648A">
        <w:rPr>
          <w:rStyle w:val="Char"/>
          <w:rtl/>
        </w:rPr>
        <w:t xml:space="preserve">ي الإسلام </w:t>
      </w:r>
      <w:r w:rsidR="001809AD" w:rsidRPr="001809AD">
        <w:rPr>
          <w:rStyle w:val="Char"/>
          <w:rFonts w:cs="CTraditional Arabic"/>
          <w:rtl/>
        </w:rPr>
        <w:t>ص</w:t>
      </w:r>
      <w:r w:rsidRPr="0092648A">
        <w:rPr>
          <w:rStyle w:val="Char"/>
          <w:rFonts w:hint="cs"/>
          <w:rtl/>
        </w:rPr>
        <w:t xml:space="preserve"> </w:t>
      </w:r>
      <w:r w:rsidRPr="0092648A">
        <w:rPr>
          <w:rStyle w:val="Char"/>
          <w:rtl/>
        </w:rPr>
        <w:t>وحتى اليوم لم يهاجر أهل مكة والمدينة منهما لأي سببٍ من الأسباب»</w:t>
      </w:r>
      <w:r w:rsidRPr="006E28E9">
        <w:rPr>
          <w:rStyle w:val="Char"/>
          <w:rFonts w:ascii="Arabic11 BT" w:hAnsi="Arabic11 BT" w:cs="Arabic11 BT"/>
          <w:vertAlign w:val="superscript"/>
          <w:rtl/>
        </w:rPr>
        <w:footnoteReference w:id="304"/>
      </w:r>
      <w:r w:rsidRPr="0092648A">
        <w:rPr>
          <w:rStyle w:val="Char"/>
          <w:rtl/>
        </w:rPr>
        <w:t>.</w:t>
      </w:r>
      <w:r w:rsidRPr="0092648A">
        <w:rPr>
          <w:rStyle w:val="Char"/>
          <w:rFonts w:hint="cs"/>
          <w:rtl/>
        </w:rPr>
        <w:t xml:space="preserve"> </w:t>
      </w:r>
      <w:r w:rsidRPr="0092648A">
        <w:rPr>
          <w:rStyle w:val="Char"/>
          <w:rtl/>
        </w:rPr>
        <w:t xml:space="preserve">لكن ينبغي القول </w:t>
      </w:r>
      <w:r w:rsidRPr="0092648A">
        <w:rPr>
          <w:rStyle w:val="Char"/>
          <w:rFonts w:hint="cs"/>
          <w:rtl/>
        </w:rPr>
        <w:t>إ</w:t>
      </w:r>
      <w:r w:rsidRPr="0092648A">
        <w:rPr>
          <w:rStyle w:val="Char"/>
          <w:rtl/>
        </w:rPr>
        <w:t>ن واقع الأمر هو أنه لم يبق من أهالي مكة أو المدينة الأصليين أحد سوى بعض الأشراف (الهاشميين من ذرية النبي</w:t>
      </w:r>
      <w:r w:rsidRPr="0092648A">
        <w:rPr>
          <w:rStyle w:val="Char"/>
          <w:rFonts w:hint="cs"/>
          <w:rtl/>
        </w:rPr>
        <w:t xml:space="preserve"> </w:t>
      </w:r>
      <w:r w:rsidR="001809AD" w:rsidRPr="001809AD">
        <w:rPr>
          <w:rStyle w:val="Char"/>
          <w:rFonts w:cs="CTraditional Arabic"/>
          <w:rtl/>
        </w:rPr>
        <w:t>ص</w:t>
      </w:r>
      <w:r w:rsidRPr="0092648A">
        <w:rPr>
          <w:rStyle w:val="Char"/>
          <w:rtl/>
        </w:rPr>
        <w:t>)</w:t>
      </w:r>
      <w:r w:rsidRPr="0092648A">
        <w:rPr>
          <w:rStyle w:val="Char"/>
          <w:rFonts w:hint="cs"/>
          <w:rtl/>
        </w:rPr>
        <w:t>.</w:t>
      </w:r>
    </w:p>
    <w:p w:rsidR="00DA6CFB" w:rsidRPr="0092648A" w:rsidRDefault="00DA6CFB" w:rsidP="001809AD">
      <w:pPr>
        <w:widowControl w:val="0"/>
        <w:spacing w:line="211" w:lineRule="auto"/>
        <w:ind w:firstLine="284"/>
        <w:jc w:val="both"/>
        <w:rPr>
          <w:rStyle w:val="Char"/>
          <w:rtl/>
        </w:rPr>
      </w:pPr>
      <w:r w:rsidRPr="0092648A">
        <w:rPr>
          <w:rStyle w:val="Char"/>
          <w:rtl/>
        </w:rPr>
        <w:t xml:space="preserve">في الحقيقة </w:t>
      </w:r>
      <w:r w:rsidRPr="0092648A">
        <w:rPr>
          <w:rStyle w:val="Char"/>
          <w:rFonts w:hint="cs"/>
          <w:rtl/>
        </w:rPr>
        <w:t xml:space="preserve">لم يكن </w:t>
      </w:r>
      <w:r w:rsidRPr="0092648A">
        <w:rPr>
          <w:rStyle w:val="Char"/>
          <w:rtl/>
        </w:rPr>
        <w:t>تسن</w:t>
      </w:r>
      <w:r w:rsidRPr="0092648A">
        <w:rPr>
          <w:rStyle w:val="Char"/>
          <w:rFonts w:hint="cs"/>
          <w:rtl/>
        </w:rPr>
        <w:t>ُّ</w:t>
      </w:r>
      <w:r w:rsidRPr="0092648A">
        <w:rPr>
          <w:rStyle w:val="Char"/>
          <w:rtl/>
        </w:rPr>
        <w:t>ن ت</w:t>
      </w:r>
      <w:r w:rsidRPr="0092648A">
        <w:rPr>
          <w:rStyle w:val="Char"/>
          <w:rFonts w:hint="cs"/>
          <w:rtl/>
        </w:rPr>
        <w:t>َ</w:t>
      </w:r>
      <w:r w:rsidRPr="0092648A">
        <w:rPr>
          <w:rStyle w:val="Char"/>
          <w:rtl/>
        </w:rPr>
        <w:t>ق</w:t>
      </w:r>
      <w:r w:rsidRPr="0092648A">
        <w:rPr>
          <w:rStyle w:val="Char"/>
          <w:rFonts w:hint="cs"/>
          <w:rtl/>
        </w:rPr>
        <w:t>َ</w:t>
      </w:r>
      <w:r w:rsidRPr="0092648A">
        <w:rPr>
          <w:rStyle w:val="Char"/>
          <w:rtl/>
        </w:rPr>
        <w:t>و</w:t>
      </w:r>
      <w:r w:rsidRPr="0092648A">
        <w:rPr>
          <w:rStyle w:val="Char"/>
          <w:rFonts w:hint="cs"/>
          <w:rtl/>
        </w:rPr>
        <w:t>ي</w:t>
      </w:r>
      <w:r w:rsidRPr="0092648A">
        <w:rPr>
          <w:rStyle w:val="Char"/>
          <w:rtl/>
        </w:rPr>
        <w:t xml:space="preserve"> </w:t>
      </w:r>
      <w:r w:rsidRPr="0092648A">
        <w:rPr>
          <w:rStyle w:val="Char"/>
          <w:rFonts w:hint="cs"/>
          <w:rtl/>
        </w:rPr>
        <w:t>بمعنى</w:t>
      </w:r>
      <w:r w:rsidRPr="0092648A">
        <w:rPr>
          <w:rStyle w:val="Char"/>
          <w:rtl/>
        </w:rPr>
        <w:t xml:space="preserve"> تأثره بأهل السنة</w:t>
      </w:r>
      <w:r w:rsidRPr="0092648A">
        <w:rPr>
          <w:rStyle w:val="Char"/>
          <w:rFonts w:hint="cs"/>
          <w:rtl/>
        </w:rPr>
        <w:t xml:space="preserve"> فَحَسْب</w:t>
      </w:r>
      <w:r w:rsidRPr="0092648A">
        <w:rPr>
          <w:rStyle w:val="Char"/>
          <w:rtl/>
        </w:rPr>
        <w:t xml:space="preserve">، بل </w:t>
      </w:r>
      <w:r w:rsidRPr="0092648A">
        <w:rPr>
          <w:rStyle w:val="Char"/>
          <w:rFonts w:hint="cs"/>
          <w:rtl/>
        </w:rPr>
        <w:t>ب</w:t>
      </w:r>
      <w:r w:rsidRPr="0092648A">
        <w:rPr>
          <w:rStyle w:val="Char"/>
          <w:rtl/>
        </w:rPr>
        <w:t>معنى صيرورته سُنِّي</w:t>
      </w:r>
      <w:r w:rsidRPr="0092648A">
        <w:rPr>
          <w:rStyle w:val="Char"/>
          <w:rFonts w:hint="cs"/>
          <w:rtl/>
        </w:rPr>
        <w:t>ـ</w:t>
      </w:r>
      <w:r w:rsidRPr="0092648A">
        <w:rPr>
          <w:rStyle w:val="Char"/>
          <w:rtl/>
        </w:rPr>
        <w:t>ًّا حقيقيّ</w:t>
      </w:r>
      <w:r w:rsidRPr="0092648A">
        <w:rPr>
          <w:rStyle w:val="Char"/>
          <w:rFonts w:hint="cs"/>
          <w:rtl/>
        </w:rPr>
        <w:t>ً</w:t>
      </w:r>
      <w:r w:rsidRPr="0092648A">
        <w:rPr>
          <w:rStyle w:val="Char"/>
          <w:rtl/>
        </w:rPr>
        <w:t>ا، فمثلاً بالنسبة إلى عبارة «حي على خير العمل» التي كان يُحْتَمَل أن يبقيها في الآذان</w:t>
      </w:r>
      <w:r w:rsidRPr="0092648A">
        <w:rPr>
          <w:rStyle w:val="Char"/>
          <w:rFonts w:hint="cs"/>
          <w:rtl/>
        </w:rPr>
        <w:t>،</w:t>
      </w:r>
      <w:r w:rsidRPr="0092648A">
        <w:rPr>
          <w:rStyle w:val="Char"/>
          <w:rtl/>
        </w:rPr>
        <w:t xml:space="preserve"> رأى </w:t>
      </w:r>
      <w:r w:rsidRPr="0092648A">
        <w:rPr>
          <w:rStyle w:val="Char"/>
          <w:rFonts w:hint="cs"/>
          <w:rtl/>
        </w:rPr>
        <w:t xml:space="preserve">تقوي </w:t>
      </w:r>
      <w:r w:rsidRPr="0092648A">
        <w:rPr>
          <w:rStyle w:val="Char"/>
          <w:rtl/>
        </w:rPr>
        <w:t xml:space="preserve">أنه لا يجوز قولها في الآذان لأن معناها غير مناسب [وغير صحيح]، لأن الصلاة ليست أفضل الأعمال بل هي من الأعمال الخيرة </w:t>
      </w:r>
      <w:r w:rsidRPr="0092648A">
        <w:rPr>
          <w:rStyle w:val="Char"/>
          <w:rFonts w:hint="cs"/>
          <w:rtl/>
        </w:rPr>
        <w:t>و</w:t>
      </w:r>
      <w:r w:rsidRPr="0092648A">
        <w:rPr>
          <w:rStyle w:val="Char"/>
          <w:rtl/>
        </w:rPr>
        <w:t xml:space="preserve">الجيدة </w:t>
      </w:r>
      <w:r w:rsidRPr="0092648A">
        <w:rPr>
          <w:rStyle w:val="Char"/>
          <w:rFonts w:hint="cs"/>
          <w:rtl/>
        </w:rPr>
        <w:t>فَحَسْب</w:t>
      </w:r>
      <w:r w:rsidRPr="0092648A">
        <w:rPr>
          <w:rStyle w:val="Char"/>
          <w:rtl/>
        </w:rPr>
        <w:t xml:space="preserve">! </w:t>
      </w:r>
      <w:r w:rsidRPr="006E28E9">
        <w:rPr>
          <w:rStyle w:val="Char"/>
          <w:rFonts w:ascii="Arabic11 BT" w:hAnsi="Arabic11 BT" w:cs="Arabic11 BT"/>
          <w:vertAlign w:val="superscript"/>
          <w:rtl/>
        </w:rPr>
        <w:footnoteReference w:id="305"/>
      </w:r>
      <w:r w:rsidRPr="0092648A">
        <w:rPr>
          <w:rStyle w:val="Char"/>
          <w:rtl/>
        </w:rPr>
        <w:t xml:space="preserve"> كان </w:t>
      </w:r>
      <w:r w:rsidRPr="0092648A">
        <w:rPr>
          <w:rStyle w:val="Char"/>
          <w:rFonts w:hint="cs"/>
          <w:rtl/>
        </w:rPr>
        <w:t xml:space="preserve">تَقَوي </w:t>
      </w:r>
      <w:r w:rsidRPr="0092648A">
        <w:rPr>
          <w:rStyle w:val="Char"/>
          <w:rtl/>
        </w:rPr>
        <w:t>يعتبر نفسه سُنِّيًّا نبوي</w:t>
      </w:r>
      <w:r w:rsidRPr="0092648A">
        <w:rPr>
          <w:rStyle w:val="Char"/>
          <w:rFonts w:hint="cs"/>
          <w:rtl/>
        </w:rPr>
        <w:t>ًّ</w:t>
      </w:r>
      <w:r w:rsidRPr="0092648A">
        <w:rPr>
          <w:rStyle w:val="Char"/>
          <w:rtl/>
        </w:rPr>
        <w:t>ا، أي مت</w:t>
      </w:r>
      <w:r w:rsidRPr="0092648A">
        <w:rPr>
          <w:rStyle w:val="Char"/>
          <w:rFonts w:hint="cs"/>
          <w:rtl/>
        </w:rPr>
        <w:t>َّ</w:t>
      </w:r>
      <w:r w:rsidRPr="0092648A">
        <w:rPr>
          <w:rStyle w:val="Char"/>
          <w:rtl/>
        </w:rPr>
        <w:t>بع</w:t>
      </w:r>
      <w:r w:rsidRPr="0092648A">
        <w:rPr>
          <w:rStyle w:val="Char"/>
          <w:rFonts w:hint="cs"/>
          <w:rtl/>
        </w:rPr>
        <w:t>ً</w:t>
      </w:r>
      <w:r w:rsidRPr="0092648A">
        <w:rPr>
          <w:rStyle w:val="Char"/>
          <w:rtl/>
        </w:rPr>
        <w:t>ا لسنة النبي</w:t>
      </w:r>
      <w:r w:rsidRPr="0092648A">
        <w:rPr>
          <w:rStyle w:val="Char"/>
          <w:rFonts w:hint="cs"/>
          <w:rtl/>
        </w:rPr>
        <w:t xml:space="preserve"> </w:t>
      </w:r>
      <w:r w:rsidR="001809AD" w:rsidRPr="001809AD">
        <w:rPr>
          <w:rStyle w:val="Char"/>
          <w:rFonts w:cs="CTraditional Arabic"/>
          <w:rtl/>
        </w:rPr>
        <w:t>ص</w:t>
      </w:r>
      <w:r w:rsidRPr="0092648A">
        <w:rPr>
          <w:rStyle w:val="Char"/>
          <w:rtl/>
        </w:rPr>
        <w:t xml:space="preserve">، وشيعيًّا نبويًّا أي من </w:t>
      </w:r>
      <w:r w:rsidRPr="0092648A">
        <w:rPr>
          <w:rStyle w:val="Char"/>
          <w:rFonts w:hint="cs"/>
          <w:rtl/>
        </w:rPr>
        <w:t>متشيِّعًا للنبي</w:t>
      </w:r>
      <w:r w:rsidRPr="0092648A">
        <w:rPr>
          <w:rStyle w:val="Char"/>
          <w:rtl/>
        </w:rPr>
        <w:t xml:space="preserve"> </w:t>
      </w:r>
      <w:r w:rsidR="001809AD" w:rsidRPr="001809AD">
        <w:rPr>
          <w:rStyle w:val="Char"/>
          <w:rFonts w:cs="CTraditional Arabic"/>
          <w:rtl/>
        </w:rPr>
        <w:t>ص</w:t>
      </w:r>
      <w:r w:rsidRPr="0092648A">
        <w:rPr>
          <w:rStyle w:val="Char"/>
          <w:rFonts w:hint="cs"/>
          <w:rtl/>
        </w:rPr>
        <w:t>.</w:t>
      </w:r>
      <w:r w:rsidRPr="0092648A">
        <w:rPr>
          <w:rStyle w:val="Char"/>
          <w:rtl/>
        </w:rPr>
        <w:t xml:space="preserve"> </w:t>
      </w:r>
    </w:p>
    <w:p w:rsidR="00DA6CFB" w:rsidRPr="0092648A" w:rsidRDefault="00DA6CFB" w:rsidP="001809AD">
      <w:pPr>
        <w:widowControl w:val="0"/>
        <w:spacing w:line="211" w:lineRule="auto"/>
        <w:ind w:firstLine="284"/>
        <w:jc w:val="both"/>
        <w:rPr>
          <w:rStyle w:val="Char"/>
          <w:rtl/>
        </w:rPr>
      </w:pPr>
      <w:r w:rsidRPr="0092648A">
        <w:rPr>
          <w:rStyle w:val="Char"/>
          <w:rFonts w:hint="cs"/>
          <w:rtl/>
        </w:rPr>
        <w:t xml:space="preserve">في </w:t>
      </w:r>
      <w:r w:rsidRPr="0092648A">
        <w:rPr>
          <w:rStyle w:val="Char"/>
          <w:rtl/>
        </w:rPr>
        <w:t>سنة 1349</w:t>
      </w:r>
      <w:r w:rsidRPr="0092648A">
        <w:rPr>
          <w:rStyle w:val="Char"/>
          <w:rFonts w:hint="cs"/>
          <w:rtl/>
        </w:rPr>
        <w:t xml:space="preserve"> هـ.ش [1970م] </w:t>
      </w:r>
      <w:r w:rsidRPr="0092648A">
        <w:rPr>
          <w:rStyle w:val="Char"/>
          <w:rtl/>
        </w:rPr>
        <w:t>وصل إلى إدارة الرقابة على الكتب كتاب</w:t>
      </w:r>
      <w:r w:rsidRPr="0092648A">
        <w:rPr>
          <w:rStyle w:val="Char"/>
          <w:rFonts w:hint="cs"/>
          <w:rtl/>
        </w:rPr>
        <w:t>ٌ</w:t>
      </w:r>
      <w:r w:rsidRPr="0092648A">
        <w:rPr>
          <w:rStyle w:val="Char"/>
          <w:rtl/>
        </w:rPr>
        <w:t xml:space="preserve"> من تأليف</w:t>
      </w:r>
      <w:r w:rsidRPr="0092648A">
        <w:rPr>
          <w:rStyle w:val="Char"/>
          <w:rFonts w:hint="cs"/>
          <w:rtl/>
        </w:rPr>
        <w:t xml:space="preserve"> تَقَوي</w:t>
      </w:r>
      <w:r w:rsidRPr="0092648A">
        <w:rPr>
          <w:rStyle w:val="Char"/>
          <w:rtl/>
        </w:rPr>
        <w:t xml:space="preserve"> عنوانه: «</w:t>
      </w:r>
      <w:r w:rsidRPr="0092648A">
        <w:rPr>
          <w:rStyle w:val="Char8"/>
          <w:rtl/>
        </w:rPr>
        <w:t>فرعون، إبراه</w:t>
      </w:r>
      <w:r w:rsidR="008C7124">
        <w:rPr>
          <w:rStyle w:val="Char8"/>
          <w:rtl/>
        </w:rPr>
        <w:t>ی</w:t>
      </w:r>
      <w:r w:rsidRPr="0092648A">
        <w:rPr>
          <w:rStyle w:val="Char8"/>
          <w:rtl/>
        </w:rPr>
        <w:t xml:space="preserve">م، </w:t>
      </w:r>
      <w:r w:rsidR="008C7124">
        <w:rPr>
          <w:rStyle w:val="Char8"/>
          <w:rtl/>
        </w:rPr>
        <w:t>ی</w:t>
      </w:r>
      <w:r w:rsidRPr="0092648A">
        <w:rPr>
          <w:rStyle w:val="Char8"/>
          <w:rtl/>
        </w:rPr>
        <w:t>وسف، وموسى</w:t>
      </w:r>
      <w:r w:rsidRPr="0092648A">
        <w:rPr>
          <w:rStyle w:val="Char"/>
          <w:rtl/>
        </w:rPr>
        <w:t xml:space="preserve">» فأبدى الرقيب </w:t>
      </w:r>
      <w:r w:rsidRPr="0092648A">
        <w:rPr>
          <w:rStyle w:val="Char"/>
          <w:rFonts w:hint="cs"/>
          <w:rtl/>
        </w:rPr>
        <w:t>رأيه فيه، بعد</w:t>
      </w:r>
      <w:r w:rsidRPr="0092648A">
        <w:rPr>
          <w:rStyle w:val="Char"/>
          <w:rtl/>
        </w:rPr>
        <w:t xml:space="preserve"> دراسته</w:t>
      </w:r>
      <w:r w:rsidRPr="0092648A">
        <w:rPr>
          <w:rStyle w:val="Char"/>
          <w:rFonts w:hint="cs"/>
          <w:rtl/>
        </w:rPr>
        <w:t>،</w:t>
      </w:r>
      <w:r w:rsidRPr="0092648A">
        <w:rPr>
          <w:rStyle w:val="Char"/>
          <w:rtl/>
        </w:rPr>
        <w:t xml:space="preserve"> </w:t>
      </w:r>
      <w:r w:rsidRPr="0092648A">
        <w:rPr>
          <w:rStyle w:val="Char"/>
          <w:rFonts w:hint="cs"/>
          <w:rtl/>
        </w:rPr>
        <w:t>على النحو التالي</w:t>
      </w:r>
      <w:r w:rsidRPr="0092648A">
        <w:rPr>
          <w:rStyle w:val="Char"/>
          <w:rtl/>
        </w:rPr>
        <w:t>: «ي</w:t>
      </w:r>
      <w:r w:rsidRPr="0092648A">
        <w:rPr>
          <w:rStyle w:val="Char"/>
          <w:rFonts w:hint="cs"/>
          <w:rtl/>
        </w:rPr>
        <w:t>َ</w:t>
      </w:r>
      <w:r w:rsidRPr="0092648A">
        <w:rPr>
          <w:rStyle w:val="Char"/>
          <w:rtl/>
        </w:rPr>
        <w:t>ع</w:t>
      </w:r>
      <w:r w:rsidRPr="0092648A">
        <w:rPr>
          <w:rStyle w:val="Char"/>
          <w:rFonts w:hint="cs"/>
          <w:rtl/>
        </w:rPr>
        <w:t>ْ</w:t>
      </w:r>
      <w:r w:rsidRPr="0092648A">
        <w:rPr>
          <w:rStyle w:val="Char"/>
          <w:rtl/>
        </w:rPr>
        <w:t>ت</w:t>
      </w:r>
      <w:r w:rsidRPr="0092648A">
        <w:rPr>
          <w:rStyle w:val="Char"/>
          <w:rFonts w:hint="cs"/>
          <w:rtl/>
        </w:rPr>
        <w:t>َ</w:t>
      </w:r>
      <w:r w:rsidRPr="0092648A">
        <w:rPr>
          <w:rStyle w:val="Char"/>
          <w:rtl/>
        </w:rPr>
        <w:t>ب</w:t>
      </w:r>
      <w:r w:rsidRPr="0092648A">
        <w:rPr>
          <w:rStyle w:val="Char"/>
          <w:rFonts w:hint="cs"/>
          <w:rtl/>
        </w:rPr>
        <w:t>ِ</w:t>
      </w:r>
      <w:r w:rsidRPr="0092648A">
        <w:rPr>
          <w:rStyle w:val="Char"/>
          <w:rtl/>
        </w:rPr>
        <w:t>ر مؤل</w:t>
      </w:r>
      <w:r w:rsidRPr="0092648A">
        <w:rPr>
          <w:rStyle w:val="Char"/>
          <w:rFonts w:hint="cs"/>
          <w:rtl/>
        </w:rPr>
        <w:t>ِّ</w:t>
      </w:r>
      <w:r w:rsidRPr="0092648A">
        <w:rPr>
          <w:rStyle w:val="Char"/>
          <w:rtl/>
        </w:rPr>
        <w:t>ف</w:t>
      </w:r>
      <w:r w:rsidRPr="0092648A">
        <w:rPr>
          <w:rStyle w:val="Char"/>
          <w:rFonts w:hint="cs"/>
          <w:rtl/>
        </w:rPr>
        <w:t>ُ</w:t>
      </w:r>
      <w:r w:rsidRPr="0092648A">
        <w:rPr>
          <w:rStyle w:val="Char"/>
          <w:rtl/>
        </w:rPr>
        <w:t>ه</w:t>
      </w:r>
      <w:r w:rsidRPr="0092648A">
        <w:rPr>
          <w:rStyle w:val="Char"/>
          <w:rFonts w:hint="cs"/>
          <w:rtl/>
        </w:rPr>
        <w:t>ُ</w:t>
      </w:r>
      <w:r w:rsidRPr="0092648A">
        <w:rPr>
          <w:rStyle w:val="Char"/>
          <w:rtl/>
        </w:rPr>
        <w:t xml:space="preserve"> أن أكثر الأدعية موضوعة</w:t>
      </w:r>
      <w:r w:rsidRPr="0092648A">
        <w:rPr>
          <w:rStyle w:val="Char"/>
          <w:rFonts w:hint="cs"/>
          <w:rtl/>
        </w:rPr>
        <w:t>ٌ</w:t>
      </w:r>
      <w:r w:rsidRPr="0092648A">
        <w:rPr>
          <w:rStyle w:val="Char"/>
          <w:rtl/>
        </w:rPr>
        <w:t xml:space="preserve">، ...... </w:t>
      </w:r>
      <w:r w:rsidRPr="0092648A">
        <w:rPr>
          <w:rStyle w:val="Char"/>
          <w:rFonts w:hint="cs"/>
          <w:rtl/>
        </w:rPr>
        <w:t>ومؤلفه</w:t>
      </w:r>
      <w:r w:rsidRPr="0092648A">
        <w:rPr>
          <w:rStyle w:val="Char"/>
          <w:rtl/>
        </w:rPr>
        <w:t xml:space="preserve"> معارض ومعاند للشيعة وكتبهم، وقد أظهر عناده ولجاجه في كتابه </w:t>
      </w:r>
      <w:r w:rsidRPr="0092648A">
        <w:rPr>
          <w:rStyle w:val="Char"/>
          <w:rFonts w:hint="cs"/>
          <w:rtl/>
        </w:rPr>
        <w:t xml:space="preserve">هذا </w:t>
      </w:r>
      <w:r w:rsidRPr="0092648A">
        <w:rPr>
          <w:rStyle w:val="Char"/>
          <w:rtl/>
        </w:rPr>
        <w:t>بكل وضوح</w:t>
      </w:r>
      <w:r w:rsidRPr="0092648A">
        <w:rPr>
          <w:rStyle w:val="Char"/>
          <w:rFonts w:hint="cs"/>
          <w:rtl/>
        </w:rPr>
        <w:t>.</w:t>
      </w:r>
      <w:r w:rsidRPr="006E28E9">
        <w:rPr>
          <w:rStyle w:val="Char"/>
          <w:rFonts w:ascii="Arabic11 BT" w:hAnsi="Arabic11 BT" w:cs="Arabic11 BT"/>
          <w:vertAlign w:val="superscript"/>
          <w:rtl/>
        </w:rPr>
        <w:footnoteReference w:id="306"/>
      </w:r>
    </w:p>
    <w:p w:rsidR="00DA6CFB" w:rsidRPr="0092648A" w:rsidRDefault="00DA6CFB" w:rsidP="001809AD">
      <w:pPr>
        <w:widowControl w:val="0"/>
        <w:spacing w:line="211" w:lineRule="auto"/>
        <w:ind w:firstLine="284"/>
        <w:jc w:val="both"/>
        <w:rPr>
          <w:rStyle w:val="Char"/>
          <w:rtl/>
        </w:rPr>
      </w:pPr>
      <w:r w:rsidRPr="0092648A">
        <w:rPr>
          <w:rStyle w:val="Char"/>
          <w:rtl/>
        </w:rPr>
        <w:t>أل</w:t>
      </w:r>
      <w:r w:rsidRPr="0092648A">
        <w:rPr>
          <w:rStyle w:val="Char"/>
          <w:rFonts w:hint="cs"/>
          <w:rtl/>
        </w:rPr>
        <w:t>َّ</w:t>
      </w:r>
      <w:r w:rsidRPr="0092648A">
        <w:rPr>
          <w:rStyle w:val="Char"/>
          <w:rtl/>
        </w:rPr>
        <w:t>ف ت</w:t>
      </w:r>
      <w:r w:rsidRPr="0092648A">
        <w:rPr>
          <w:rStyle w:val="Char"/>
          <w:rFonts w:hint="cs"/>
          <w:rtl/>
        </w:rPr>
        <w:t>َ</w:t>
      </w:r>
      <w:r w:rsidRPr="0092648A">
        <w:rPr>
          <w:rStyle w:val="Char"/>
          <w:rtl/>
        </w:rPr>
        <w:t>ق</w:t>
      </w:r>
      <w:r w:rsidRPr="0092648A">
        <w:rPr>
          <w:rStyle w:val="Char"/>
          <w:rFonts w:hint="cs"/>
          <w:rtl/>
        </w:rPr>
        <w:t>َ</w:t>
      </w:r>
      <w:r w:rsidRPr="0092648A">
        <w:rPr>
          <w:rStyle w:val="Char"/>
          <w:rtl/>
        </w:rPr>
        <w:t>و</w:t>
      </w:r>
      <w:r w:rsidRPr="0092648A">
        <w:rPr>
          <w:rStyle w:val="Char"/>
          <w:rFonts w:hint="cs"/>
          <w:rtl/>
        </w:rPr>
        <w:t>ِ</w:t>
      </w:r>
      <w:r w:rsidRPr="0092648A">
        <w:rPr>
          <w:rStyle w:val="Char"/>
          <w:rtl/>
        </w:rPr>
        <w:t>ي عدد</w:t>
      </w:r>
      <w:r w:rsidRPr="0092648A">
        <w:rPr>
          <w:rStyle w:val="Char"/>
          <w:rFonts w:hint="cs"/>
          <w:rtl/>
        </w:rPr>
        <w:t>ً</w:t>
      </w:r>
      <w:r w:rsidRPr="0092648A">
        <w:rPr>
          <w:rStyle w:val="Char"/>
          <w:rtl/>
        </w:rPr>
        <w:t>ا من الكتب في موضوع الوحدة الإسلامية مما يعكس الأهمية الكبيرة التي كان يوليها لهذا الموضوع، لكن وحدته متحيزة إلى جانب واحدٍ فقط، لأن جميع ما اختاره تقريباً من المسائل الخلافية [بين السنة والشيعة] هو آراء أهل السنة.</w:t>
      </w:r>
    </w:p>
    <w:p w:rsidR="00DA6CFB" w:rsidRPr="0092648A" w:rsidRDefault="00DA6CFB" w:rsidP="001809AD">
      <w:pPr>
        <w:widowControl w:val="0"/>
        <w:spacing w:line="211" w:lineRule="auto"/>
        <w:ind w:firstLine="284"/>
        <w:jc w:val="both"/>
        <w:rPr>
          <w:rStyle w:val="Char"/>
          <w:rtl/>
        </w:rPr>
      </w:pPr>
      <w:r w:rsidRPr="0092648A">
        <w:rPr>
          <w:rStyle w:val="Char"/>
          <w:rtl/>
        </w:rPr>
        <w:t>يمكنن</w:t>
      </w:r>
      <w:r w:rsidRPr="0092648A">
        <w:rPr>
          <w:rStyle w:val="Char"/>
          <w:rFonts w:hint="cs"/>
          <w:rtl/>
        </w:rPr>
        <w:t>ا</w:t>
      </w:r>
      <w:r w:rsidRPr="0092648A">
        <w:rPr>
          <w:rStyle w:val="Char"/>
          <w:rtl/>
        </w:rPr>
        <w:t xml:space="preserve"> من خلال ملاحظة ما جاء في كتابه «</w:t>
      </w:r>
      <w:r w:rsidRPr="0092648A">
        <w:rPr>
          <w:rStyle w:val="Char8"/>
          <w:rtl/>
        </w:rPr>
        <w:t>مواد أساس ح</w:t>
      </w:r>
      <w:r w:rsidR="008C7124">
        <w:rPr>
          <w:rStyle w:val="Char8"/>
          <w:rtl/>
        </w:rPr>
        <w:t>ک</w:t>
      </w:r>
      <w:r w:rsidRPr="0092648A">
        <w:rPr>
          <w:rStyle w:val="Char8"/>
          <w:rtl/>
        </w:rPr>
        <w:t>ومت إسلام</w:t>
      </w:r>
      <w:r w:rsidRPr="0092648A">
        <w:rPr>
          <w:rStyle w:val="Char"/>
          <w:rtl/>
        </w:rPr>
        <w:t>» أن نرى بكل وضوح الحرية التي</w:t>
      </w:r>
      <w:r w:rsidRPr="0092648A">
        <w:rPr>
          <w:rStyle w:val="Char"/>
          <w:rFonts w:hint="cs"/>
          <w:rtl/>
        </w:rPr>
        <w:t xml:space="preserve"> كان</w:t>
      </w:r>
      <w:r w:rsidRPr="0092648A">
        <w:rPr>
          <w:rStyle w:val="Char"/>
          <w:rtl/>
        </w:rPr>
        <w:t xml:space="preserve"> يمارسها في استنباطاته القرآنية، بعيد</w:t>
      </w:r>
      <w:r w:rsidRPr="0092648A">
        <w:rPr>
          <w:rStyle w:val="Char"/>
          <w:rFonts w:hint="cs"/>
          <w:rtl/>
        </w:rPr>
        <w:t>ً</w:t>
      </w:r>
      <w:r w:rsidRPr="0092648A">
        <w:rPr>
          <w:rStyle w:val="Char"/>
          <w:rtl/>
        </w:rPr>
        <w:t>ا عما هو سائد ومتعارف عليه في تفاسير القرآن، وأن نرى أيضًا حريته الفكرية في بيان الأحكام الفقهية استناداً إلى فهمه الشخص</w:t>
      </w:r>
      <w:r w:rsidRPr="0092648A">
        <w:rPr>
          <w:rStyle w:val="Char"/>
          <w:rFonts w:hint="cs"/>
          <w:rtl/>
        </w:rPr>
        <w:t>ي</w:t>
      </w:r>
      <w:r w:rsidRPr="0092648A">
        <w:rPr>
          <w:rStyle w:val="Char"/>
          <w:rtl/>
        </w:rPr>
        <w:t xml:space="preserve"> واستنباطاته </w:t>
      </w:r>
      <w:r w:rsidRPr="0092648A">
        <w:rPr>
          <w:rStyle w:val="Char"/>
          <w:rtl/>
        </w:rPr>
        <w:lastRenderedPageBreak/>
        <w:t>الشخصية من آيات القرآن بمعزلٍ عن آراء الفقهاء.</w:t>
      </w:r>
    </w:p>
    <w:p w:rsidR="00DA6CFB" w:rsidRPr="0092648A" w:rsidRDefault="00DA6CFB" w:rsidP="00924380">
      <w:pPr>
        <w:widowControl w:val="0"/>
        <w:spacing w:line="216" w:lineRule="auto"/>
        <w:ind w:firstLine="284"/>
        <w:jc w:val="both"/>
        <w:rPr>
          <w:rStyle w:val="Char"/>
          <w:rtl/>
        </w:rPr>
      </w:pPr>
      <w:r w:rsidRPr="0092648A">
        <w:rPr>
          <w:rStyle w:val="Char"/>
          <w:rtl/>
        </w:rPr>
        <w:t>أل</w:t>
      </w:r>
      <w:r w:rsidRPr="0092648A">
        <w:rPr>
          <w:rStyle w:val="Char"/>
          <w:rFonts w:hint="cs"/>
          <w:rtl/>
        </w:rPr>
        <w:t>َّ</w:t>
      </w:r>
      <w:r w:rsidRPr="0092648A">
        <w:rPr>
          <w:rStyle w:val="Char"/>
          <w:rtl/>
        </w:rPr>
        <w:t>ف تقوي كتب</w:t>
      </w:r>
      <w:r w:rsidRPr="0092648A">
        <w:rPr>
          <w:rStyle w:val="Char"/>
          <w:rFonts w:hint="cs"/>
          <w:rtl/>
        </w:rPr>
        <w:t>ً</w:t>
      </w:r>
      <w:r w:rsidRPr="0092648A">
        <w:rPr>
          <w:rStyle w:val="Char"/>
          <w:rtl/>
        </w:rPr>
        <w:t>ا عديدة</w:t>
      </w:r>
      <w:r w:rsidRPr="0092648A">
        <w:rPr>
          <w:rStyle w:val="Char"/>
          <w:rFonts w:hint="cs"/>
          <w:rtl/>
        </w:rPr>
        <w:t>ً</w:t>
      </w:r>
      <w:r w:rsidRPr="0092648A">
        <w:rPr>
          <w:rStyle w:val="Char"/>
          <w:rtl/>
        </w:rPr>
        <w:t xml:space="preserve"> ولم يترك تقريب</w:t>
      </w:r>
      <w:r w:rsidRPr="0092648A">
        <w:rPr>
          <w:rStyle w:val="Char"/>
          <w:rFonts w:hint="cs"/>
          <w:rtl/>
        </w:rPr>
        <w:t>ً</w:t>
      </w:r>
      <w:r w:rsidRPr="0092648A">
        <w:rPr>
          <w:rStyle w:val="Char"/>
          <w:rtl/>
        </w:rPr>
        <w:t>ا مجالاً من المجالات الفكرية والفقهية المتعلقة بالدين إلا وأدلى فيها بدلوه، وقد طُبع عدد من هذه المؤلفات، واستناد</w:t>
      </w:r>
      <w:r w:rsidRPr="0092648A">
        <w:rPr>
          <w:rStyle w:val="Char"/>
          <w:rFonts w:hint="cs"/>
          <w:rtl/>
        </w:rPr>
        <w:t>ً</w:t>
      </w:r>
      <w:r w:rsidRPr="0092648A">
        <w:rPr>
          <w:rStyle w:val="Char"/>
          <w:rtl/>
        </w:rPr>
        <w:t>ا إلى فهرس مؤلفاته الذي جاء في نهاية أحد كتبه، يمكننا أن نذكر عناوين مؤلفاته التي طُبعت حتى عام 1356هـ.ش كما يأتي</w:t>
      </w:r>
      <w:r w:rsidRPr="006E28E9">
        <w:rPr>
          <w:rStyle w:val="Char"/>
          <w:rFonts w:ascii="Arabic11 BT" w:hAnsi="Arabic11 BT" w:cs="Arabic11 BT"/>
          <w:vertAlign w:val="superscript"/>
          <w:rtl/>
        </w:rPr>
        <w:footnoteReference w:id="307"/>
      </w:r>
      <w:r w:rsidRPr="0092648A">
        <w:rPr>
          <w:rStyle w:val="Char"/>
          <w:rtl/>
        </w:rPr>
        <w:t>:</w:t>
      </w:r>
      <w:r w:rsidRPr="0092648A">
        <w:rPr>
          <w:rStyle w:val="Char"/>
          <w:rFonts w:hint="cs"/>
          <w:rtl/>
        </w:rPr>
        <w:t xml:space="preserve"> </w:t>
      </w:r>
      <w:r w:rsidRPr="0092648A">
        <w:rPr>
          <w:rStyle w:val="Char"/>
          <w:rtl/>
        </w:rPr>
        <w:t>1-</w:t>
      </w:r>
      <w:r w:rsidRPr="0092648A">
        <w:rPr>
          <w:rStyle w:val="Char"/>
          <w:rFonts w:hint="cs"/>
          <w:rtl/>
        </w:rPr>
        <w:t>دستور</w:t>
      </w:r>
      <w:r w:rsidRPr="0092648A">
        <w:rPr>
          <w:rStyle w:val="Char"/>
          <w:rtl/>
        </w:rPr>
        <w:t xml:space="preserve"> عليٍّ </w:t>
      </w:r>
      <w:r w:rsidR="00924380" w:rsidRPr="00924380">
        <w:rPr>
          <w:rStyle w:val="Char"/>
          <w:rFonts w:cs="CTraditional Arabic"/>
          <w:rtl/>
        </w:rPr>
        <w:t>÷</w:t>
      </w:r>
      <w:r w:rsidRPr="0092648A">
        <w:rPr>
          <w:rStyle w:val="Char"/>
          <w:rtl/>
        </w:rPr>
        <w:t xml:space="preserve"> في سبيل اتحاد الشيعة والسنة.</w:t>
      </w:r>
      <w:r w:rsidRPr="0092648A">
        <w:rPr>
          <w:rStyle w:val="Char"/>
          <w:rFonts w:hint="cs"/>
          <w:rtl/>
        </w:rPr>
        <w:t xml:space="preserve"> </w:t>
      </w:r>
      <w:r w:rsidRPr="0092648A">
        <w:rPr>
          <w:rStyle w:val="Char"/>
          <w:rtl/>
        </w:rPr>
        <w:t>2-</w:t>
      </w:r>
      <w:r w:rsidRPr="0092648A">
        <w:rPr>
          <w:rStyle w:val="Char"/>
          <w:rFonts w:hint="cs"/>
          <w:rtl/>
        </w:rPr>
        <w:t xml:space="preserve"> </w:t>
      </w:r>
      <w:r w:rsidRPr="0092648A">
        <w:rPr>
          <w:rStyle w:val="Char"/>
          <w:rtl/>
        </w:rPr>
        <w:t>مُسَيَّرٌ أم مُخَيَّرٌ، في بيان حدود الجبر والاختيار في الإنسان والحظ. 3-</w:t>
      </w:r>
      <w:r w:rsidRPr="0092648A">
        <w:rPr>
          <w:rStyle w:val="Char"/>
          <w:rFonts w:hint="cs"/>
          <w:rtl/>
        </w:rPr>
        <w:t xml:space="preserve"> </w:t>
      </w:r>
      <w:r w:rsidRPr="0092648A">
        <w:rPr>
          <w:rStyle w:val="Char"/>
          <w:rtl/>
        </w:rPr>
        <w:t>معجزات</w:t>
      </w:r>
      <w:r w:rsidRPr="0092648A">
        <w:rPr>
          <w:rStyle w:val="Char"/>
          <w:rFonts w:hint="cs"/>
          <w:rtl/>
        </w:rPr>
        <w:t xml:space="preserve"> </w:t>
      </w:r>
      <w:r w:rsidRPr="0092648A">
        <w:rPr>
          <w:rStyle w:val="Char"/>
          <w:rtl/>
        </w:rPr>
        <w:t>القرآن</w:t>
      </w:r>
      <w:r w:rsidRPr="0092648A">
        <w:rPr>
          <w:rStyle w:val="Char"/>
          <w:rFonts w:hint="cs"/>
          <w:rtl/>
        </w:rPr>
        <w:t xml:space="preserve"> </w:t>
      </w:r>
      <w:r w:rsidRPr="0092648A">
        <w:rPr>
          <w:rStyle w:val="Char"/>
          <w:rtl/>
        </w:rPr>
        <w:t>العلمية</w:t>
      </w:r>
      <w:r w:rsidRPr="0092648A">
        <w:rPr>
          <w:rStyle w:val="Char"/>
          <w:rFonts w:hint="cs"/>
          <w:rtl/>
        </w:rPr>
        <w:t>،</w:t>
      </w:r>
      <w:r w:rsidRPr="0092648A">
        <w:rPr>
          <w:rStyle w:val="Char"/>
          <w:rtl/>
        </w:rPr>
        <w:t xml:space="preserve"> يحتوي أربعين إعجاز وتنبؤ علمي.</w:t>
      </w:r>
      <w:r w:rsidRPr="0092648A">
        <w:rPr>
          <w:rStyle w:val="Char"/>
          <w:rFonts w:hint="cs"/>
          <w:rtl/>
        </w:rPr>
        <w:t xml:space="preserve"> 4- أعمال الحج وفلسفتها مستقاة من القرآن المجيد، واختلافها عما يفعله المسلمون اليوم. 5</w:t>
      </w:r>
      <w:r w:rsidRPr="0092648A">
        <w:rPr>
          <w:rStyle w:val="Char"/>
          <w:rtl/>
        </w:rPr>
        <w:t>-</w:t>
      </w:r>
      <w:r w:rsidRPr="0092648A">
        <w:rPr>
          <w:rStyle w:val="Char"/>
          <w:rFonts w:hint="cs"/>
          <w:rtl/>
        </w:rPr>
        <w:t xml:space="preserve"> </w:t>
      </w:r>
      <w:r w:rsidRPr="0092648A">
        <w:rPr>
          <w:rStyle w:val="Char"/>
          <w:rtl/>
        </w:rPr>
        <w:t>تنبؤ وضع إسرائيل اليوم ومحاصريها من التوراة والقرآن.</w:t>
      </w:r>
      <w:r w:rsidRPr="0092648A">
        <w:rPr>
          <w:rStyle w:val="Char"/>
          <w:rFonts w:hint="cs"/>
          <w:rtl/>
        </w:rPr>
        <w:t xml:space="preserve"> </w:t>
      </w:r>
      <w:r w:rsidRPr="0092648A">
        <w:rPr>
          <w:rStyle w:val="Char"/>
          <w:rtl/>
        </w:rPr>
        <w:t>(طبع هذا النص في نهاية كتاب «</w:t>
      </w:r>
      <w:r w:rsidRPr="0092648A">
        <w:rPr>
          <w:rStyle w:val="Char8"/>
          <w:rtl/>
        </w:rPr>
        <w:t>مواد أساس</w:t>
      </w:r>
      <w:r w:rsidR="008C7124">
        <w:rPr>
          <w:rStyle w:val="Char8"/>
          <w:rtl/>
        </w:rPr>
        <w:t>ی</w:t>
      </w:r>
      <w:r w:rsidRPr="0092648A">
        <w:rPr>
          <w:rStyle w:val="Char8"/>
          <w:rtl/>
        </w:rPr>
        <w:t xml:space="preserve"> ح</w:t>
      </w:r>
      <w:r w:rsidR="008C7124">
        <w:rPr>
          <w:rStyle w:val="Char8"/>
          <w:rtl/>
        </w:rPr>
        <w:t>ک</w:t>
      </w:r>
      <w:r w:rsidRPr="0092648A">
        <w:rPr>
          <w:rStyle w:val="Char8"/>
          <w:rtl/>
        </w:rPr>
        <w:t>ومت إسلام</w:t>
      </w:r>
      <w:r w:rsidRPr="0092648A">
        <w:rPr>
          <w:rStyle w:val="Char"/>
          <w:rtl/>
        </w:rPr>
        <w:t>»</w:t>
      </w:r>
      <w:r w:rsidRPr="0092648A">
        <w:rPr>
          <w:rStyle w:val="Char"/>
          <w:rFonts w:hint="cs"/>
          <w:rtl/>
        </w:rPr>
        <w:t>)</w:t>
      </w:r>
      <w:r w:rsidRPr="0092648A">
        <w:rPr>
          <w:rStyle w:val="Char"/>
          <w:rtl/>
        </w:rPr>
        <w:t>.</w:t>
      </w:r>
      <w:r w:rsidRPr="0092648A">
        <w:rPr>
          <w:rStyle w:val="Char"/>
          <w:rFonts w:hint="cs"/>
          <w:rtl/>
        </w:rPr>
        <w:t xml:space="preserve"> 6</w:t>
      </w:r>
      <w:r w:rsidRPr="0092648A">
        <w:rPr>
          <w:rStyle w:val="Char"/>
          <w:rtl/>
        </w:rPr>
        <w:t xml:space="preserve">-شرح نبوة إبراهيم ويوسف وموسى </w:t>
      </w:r>
      <w:r w:rsidRPr="0092648A">
        <w:rPr>
          <w:rStyle w:val="Char"/>
          <w:rFonts w:hint="cs"/>
          <w:rtl/>
        </w:rPr>
        <w:t>و</w:t>
      </w:r>
      <w:r w:rsidRPr="0092648A">
        <w:rPr>
          <w:rStyle w:val="Char"/>
          <w:rtl/>
        </w:rPr>
        <w:t>تعيين الفراعنة المتعلقين بهم.</w:t>
      </w:r>
      <w:r w:rsidRPr="0092648A">
        <w:rPr>
          <w:rStyle w:val="Char"/>
          <w:rFonts w:hint="cs"/>
          <w:rtl/>
        </w:rPr>
        <w:t xml:space="preserve"> 7- </w:t>
      </w:r>
      <w:r w:rsidRPr="0092648A">
        <w:rPr>
          <w:rStyle w:val="Char"/>
          <w:rtl/>
        </w:rPr>
        <w:t xml:space="preserve">سفينة نجاة الأمة في إثبات نبوة </w:t>
      </w:r>
      <w:r w:rsidRPr="0092648A">
        <w:rPr>
          <w:rStyle w:val="Char"/>
          <w:rFonts w:hint="cs"/>
          <w:rtl/>
        </w:rPr>
        <w:t>نبي</w:t>
      </w:r>
      <w:r w:rsidRPr="0092648A">
        <w:rPr>
          <w:rStyle w:val="Char"/>
          <w:rtl/>
        </w:rPr>
        <w:t xml:space="preserve"> الإسلام وخاتميته، (يبدو أن الاسم الآخر لهذا الكتاب: «فلاح البشر في إثبات نبوة نبي الإسلام وخاتميته وبيان متشابهات القرآن ومحكماته، والذي طبع مع كتاب «الإثبات العلمي لوجود الله وللآخرة»، بترقيم مستقل لصفحاته، سنة 1355هـ.ش).</w:t>
      </w:r>
      <w:r w:rsidRPr="0092648A">
        <w:rPr>
          <w:rStyle w:val="Char"/>
          <w:rFonts w:hint="cs"/>
          <w:rtl/>
        </w:rPr>
        <w:t xml:space="preserve"> 8</w:t>
      </w:r>
      <w:r w:rsidRPr="0092648A">
        <w:rPr>
          <w:rStyle w:val="Char"/>
          <w:rtl/>
        </w:rPr>
        <w:t>-</w:t>
      </w:r>
      <w:r w:rsidRPr="0092648A">
        <w:rPr>
          <w:rStyle w:val="Char"/>
          <w:rFonts w:hint="cs"/>
          <w:rtl/>
        </w:rPr>
        <w:t xml:space="preserve"> </w:t>
      </w:r>
      <w:r w:rsidRPr="0092648A">
        <w:rPr>
          <w:rStyle w:val="Char"/>
          <w:rtl/>
        </w:rPr>
        <w:t>موازين المذهب الجعفري الحق (طبع في شهر آبان سنة 1346هـ.ش في 30 صفحة) والمذاهب السنية الواقعية.</w:t>
      </w:r>
      <w:r w:rsidRPr="0092648A">
        <w:rPr>
          <w:rStyle w:val="Char"/>
          <w:rFonts w:hint="cs"/>
          <w:rtl/>
        </w:rPr>
        <w:t xml:space="preserve"> 9</w:t>
      </w:r>
      <w:r w:rsidRPr="0092648A">
        <w:rPr>
          <w:rStyle w:val="Char"/>
          <w:rtl/>
        </w:rPr>
        <w:t>-</w:t>
      </w:r>
      <w:r w:rsidRPr="0092648A">
        <w:rPr>
          <w:rStyle w:val="Char"/>
          <w:rFonts w:hint="cs"/>
          <w:rtl/>
        </w:rPr>
        <w:t xml:space="preserve"> </w:t>
      </w:r>
      <w:r w:rsidRPr="0092648A">
        <w:rPr>
          <w:rStyle w:val="Char"/>
          <w:rtl/>
        </w:rPr>
        <w:t xml:space="preserve">المواد الأساسية (بنود دستور) </w:t>
      </w:r>
      <w:r w:rsidRPr="0092648A">
        <w:rPr>
          <w:rStyle w:val="Char"/>
          <w:rFonts w:hint="cs"/>
          <w:rtl/>
        </w:rPr>
        <w:t>ل</w:t>
      </w:r>
      <w:r w:rsidRPr="0092648A">
        <w:rPr>
          <w:rStyle w:val="Char"/>
          <w:rtl/>
        </w:rPr>
        <w:t>لحكومة الإسلامية.</w:t>
      </w:r>
      <w:r w:rsidRPr="0092648A">
        <w:rPr>
          <w:rStyle w:val="Char"/>
          <w:rFonts w:hint="cs"/>
          <w:rtl/>
        </w:rPr>
        <w:t xml:space="preserve"> 10</w:t>
      </w:r>
      <w:r w:rsidRPr="0092648A">
        <w:rPr>
          <w:rStyle w:val="Char"/>
          <w:rtl/>
        </w:rPr>
        <w:t>-</w:t>
      </w:r>
      <w:r w:rsidRPr="0092648A">
        <w:rPr>
          <w:rStyle w:val="Char"/>
          <w:rFonts w:hint="cs"/>
          <w:rtl/>
        </w:rPr>
        <w:t xml:space="preserve"> </w:t>
      </w:r>
      <w:r w:rsidRPr="0092648A">
        <w:rPr>
          <w:rStyle w:val="Char"/>
          <w:rtl/>
        </w:rPr>
        <w:t>كيف نصلي؟</w:t>
      </w:r>
      <w:r w:rsidRPr="0092648A">
        <w:rPr>
          <w:rStyle w:val="Char"/>
          <w:rFonts w:hint="cs"/>
          <w:rtl/>
        </w:rPr>
        <w:t xml:space="preserve"> 11- اثنا عشر قاعدة في رفع الاختلاف بين المسلمين وقوانين الإرث في الإسلام. 12- الإصلاح السهل والكامل للخط الفارسي. 13- الإثبات العلمي لوجود الله والآخرة، شرح علمي حول ماهية الله ومصير الإنسان. (كُتِبَت العناوين المذكورة أعلاه على غلاف هذا الكتاب الأخير).</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أشار المؤلف في نص الكتاب الأخير إلى بعض مؤلفاته الأخرى، ومنها </w:t>
      </w:r>
      <w:r w:rsidRPr="008C7124">
        <w:rPr>
          <w:rStyle w:val="Char7"/>
          <w:rFonts w:hint="cs"/>
          <w:rtl/>
        </w:rPr>
        <w:t>ترجمة القرآن وتفسيره</w:t>
      </w:r>
      <w:r w:rsidRPr="0092648A">
        <w:rPr>
          <w:rStyle w:val="Char"/>
          <w:rFonts w:hint="cs"/>
          <w:rtl/>
        </w:rPr>
        <w:t>. طُبِع هذا الكتاب بحجم القطع الرحلي، على شكل أربعة أعمدة في كل صفحة، وبلغ عدد صفحاته 356 صفحة، وتضمن في الوقت ذاته ترجمةً وتفسيرًا مختصرًا للقرآن. وقد تمت هذه الترجمة طبقًا لترتيب نزول السور، فكانت آخر السور ترجمةً وتفسيرًا سورة المائدة.</w:t>
      </w:r>
      <w:r w:rsidRPr="006E28E9">
        <w:rPr>
          <w:rStyle w:val="Char"/>
          <w:rFonts w:ascii="Arabic11 BT" w:hAnsi="Arabic11 BT" w:cs="Arabic11 BT"/>
          <w:vertAlign w:val="superscript"/>
          <w:rtl/>
        </w:rPr>
        <w:footnoteReference w:id="308"/>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 xml:space="preserve">من المسائل العجيبة تعاون تقوي مع مجلة </w:t>
      </w:r>
      <w:r w:rsidRPr="0092648A">
        <w:rPr>
          <w:rStyle w:val="Char8"/>
          <w:rFonts w:hint="cs"/>
          <w:rtl/>
        </w:rPr>
        <w:t>رنگ</w:t>
      </w:r>
      <w:r w:rsidR="008C7124">
        <w:rPr>
          <w:rStyle w:val="Char8"/>
          <w:rFonts w:hint="cs"/>
          <w:rtl/>
        </w:rPr>
        <w:t>ی</w:t>
      </w:r>
      <w:r w:rsidRPr="0092648A">
        <w:rPr>
          <w:rStyle w:val="Char8"/>
          <w:rFonts w:hint="cs"/>
          <w:rtl/>
        </w:rPr>
        <w:t xml:space="preserve">ن </w:t>
      </w:r>
      <w:r w:rsidR="008C7124">
        <w:rPr>
          <w:rStyle w:val="Char8"/>
          <w:rFonts w:hint="cs"/>
          <w:rtl/>
        </w:rPr>
        <w:t>ک</w:t>
      </w:r>
      <w:r w:rsidRPr="0092648A">
        <w:rPr>
          <w:rStyle w:val="Char8"/>
          <w:rFonts w:hint="cs"/>
          <w:rtl/>
        </w:rPr>
        <w:t>مان</w:t>
      </w:r>
      <w:r w:rsidRPr="0092648A">
        <w:rPr>
          <w:rStyle w:val="Char"/>
          <w:rFonts w:hint="cs"/>
          <w:rtl/>
        </w:rPr>
        <w:t xml:space="preserve"> التي يملكها الدكتور ميمندي نژاد.</w:t>
      </w:r>
      <w:r w:rsidRPr="006E28E9">
        <w:rPr>
          <w:rStyle w:val="Char"/>
          <w:rFonts w:ascii="Arabic11 BT" w:hAnsi="Arabic11 BT" w:cs="Arabic11 BT"/>
          <w:vertAlign w:val="superscript"/>
          <w:rtl/>
        </w:rPr>
        <w:footnoteReference w:id="309"/>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لمجلة </w:t>
      </w:r>
      <w:r w:rsidRPr="0092648A">
        <w:rPr>
          <w:rStyle w:val="Char8"/>
          <w:rFonts w:hint="cs"/>
          <w:rtl/>
        </w:rPr>
        <w:t>رنگ</w:t>
      </w:r>
      <w:r w:rsidR="008C7124">
        <w:rPr>
          <w:rStyle w:val="Char8"/>
          <w:rFonts w:hint="cs"/>
          <w:rtl/>
        </w:rPr>
        <w:t>ی</w:t>
      </w:r>
      <w:r w:rsidRPr="0092648A">
        <w:rPr>
          <w:rStyle w:val="Char8"/>
          <w:rFonts w:hint="cs"/>
          <w:rtl/>
        </w:rPr>
        <w:t xml:space="preserve">ن </w:t>
      </w:r>
      <w:r w:rsidR="008C7124">
        <w:rPr>
          <w:rStyle w:val="Char8"/>
          <w:rFonts w:hint="cs"/>
          <w:rtl/>
        </w:rPr>
        <w:t>ک</w:t>
      </w:r>
      <w:r w:rsidRPr="0092648A">
        <w:rPr>
          <w:rStyle w:val="Char8"/>
          <w:rFonts w:hint="cs"/>
          <w:rtl/>
        </w:rPr>
        <w:t>مان</w:t>
      </w:r>
      <w:r w:rsidRPr="0092648A">
        <w:rPr>
          <w:rStyle w:val="Char"/>
          <w:rFonts w:hint="cs"/>
          <w:rtl/>
        </w:rPr>
        <w:t xml:space="preserve"> وجهات نظرها الخاصة حول الدين والمذهب وكان ذلك فرصة لبعض دعاة الإصلاح والتصحيح من أمثال الدكتور تقوي لينشروا فيها مقالاتهم. كانت تُنْشَر في تلك المجلة مقالات حول حديث الغدير، وحول تفسير الأبحاث المتعلقة بالشيعة والسنة، ومقالات تقول إنه لا مكان في الإسلام أصلاً للتفرُّق إلى فرق وطوائف؛ وهذه المقالات كانت سببًا في معارضة العلماء التقليديين لتلك المجلة ومحتوياتها.</w:t>
      </w:r>
      <w:r w:rsidRPr="006E28E9">
        <w:rPr>
          <w:rStyle w:val="Char"/>
          <w:rFonts w:ascii="Arabic11 BT" w:hAnsi="Arabic11 BT" w:cs="Arabic11 BT"/>
          <w:vertAlign w:val="superscript"/>
          <w:rtl/>
        </w:rPr>
        <w:footnoteReference w:id="310"/>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كتابه «</w:t>
      </w:r>
      <w:r w:rsidRPr="0092648A">
        <w:rPr>
          <w:rStyle w:val="Char8"/>
          <w:rFonts w:hint="cs"/>
          <w:rtl/>
        </w:rPr>
        <w:t>مواد اساس</w:t>
      </w:r>
      <w:r w:rsidR="008C7124">
        <w:rPr>
          <w:rStyle w:val="Char8"/>
          <w:rFonts w:hint="cs"/>
          <w:rtl/>
        </w:rPr>
        <w:t>ی</w:t>
      </w:r>
      <w:r w:rsidRPr="0092648A">
        <w:rPr>
          <w:rStyle w:val="Char8"/>
          <w:rFonts w:hint="cs"/>
          <w:rtl/>
        </w:rPr>
        <w:t xml:space="preserve"> ح</w:t>
      </w:r>
      <w:r w:rsidR="008C7124">
        <w:rPr>
          <w:rStyle w:val="Char8"/>
          <w:rFonts w:hint="cs"/>
          <w:rtl/>
        </w:rPr>
        <w:t>ک</w:t>
      </w:r>
      <w:r w:rsidRPr="0092648A">
        <w:rPr>
          <w:rStyle w:val="Char8"/>
          <w:rFonts w:hint="cs"/>
          <w:rtl/>
        </w:rPr>
        <w:t>ومت اسلام</w:t>
      </w:r>
      <w:r w:rsidRPr="0092648A">
        <w:rPr>
          <w:rStyle w:val="Char"/>
          <w:rFonts w:hint="cs"/>
          <w:rtl/>
        </w:rPr>
        <w:t>» [</w:t>
      </w:r>
      <w:r w:rsidRPr="0092648A">
        <w:rPr>
          <w:rStyle w:val="Char"/>
          <w:rtl/>
        </w:rPr>
        <w:t xml:space="preserve">المواد الأساسية (بنود دستور) </w:t>
      </w:r>
      <w:r w:rsidRPr="0092648A">
        <w:rPr>
          <w:rStyle w:val="Char"/>
          <w:rFonts w:hint="cs"/>
          <w:rtl/>
        </w:rPr>
        <w:t>ل</w:t>
      </w:r>
      <w:r w:rsidRPr="0092648A">
        <w:rPr>
          <w:rStyle w:val="Char"/>
          <w:rtl/>
        </w:rPr>
        <w:t>لحكومة الإسلامية.</w:t>
      </w:r>
      <w:r w:rsidRPr="0092648A">
        <w:rPr>
          <w:rStyle w:val="Char"/>
          <w:rFonts w:hint="cs"/>
          <w:rtl/>
        </w:rPr>
        <w:t xml:space="preserve">] طرح الدكتور تقوي 54 مبدأً أو أصلًا بوصفها تمثِّل المبادئ الدستورية للدولة الإسلامية، وأورد </w:t>
      </w:r>
      <w:r w:rsidRPr="0092648A">
        <w:rPr>
          <w:rStyle w:val="Char"/>
          <w:rFonts w:hint="cs"/>
          <w:rtl/>
        </w:rPr>
        <w:lastRenderedPageBreak/>
        <w:t>عقب كل مبدأ عددًا من التفصيلات والشروح، واحدًا أو أكثر، وسعى إلى تدوين دستور جديد بالمقارنة مع الدستور الذي تم تدوينه عقب الثورة الدستورية. وقد طُبِع هذا الكتاب سنة 1332 هـ.ش ثم أُعيدَت طباعته في أوائل الثورة الإسلامية مع شيء من التعديلات والتنقيحات.</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مقدمته على دستوره قام الدكتور تقوي بدراسة أسباب تخلف المسلمين، واعتبر أن السبب الأساسي في ذلك هو ابتعادهم عن أحكام الإسلام وجهلهم بتشريعاته. يقول في هذا الفصل من الكتاب: إن هناك كثير من الأمور غير الصحيحة التي تُعْرَض على المسلمين اليوم بوصفها من قوانين الإسلام وأحكامه وتشريعاته [مع أنها لا تمت إلى الإسلام بصلة]، وهذه القوانين الخاطئة هي التي كانت عائقاً أمام رُقِيّ المسلمين ومانعًا من تقدم المجتمع الإسلامي.</w:t>
      </w:r>
    </w:p>
    <w:p w:rsidR="00DA6CFB" w:rsidRPr="0092648A" w:rsidRDefault="00DA6CFB" w:rsidP="0092648A">
      <w:pPr>
        <w:widowControl w:val="0"/>
        <w:spacing w:line="216" w:lineRule="auto"/>
        <w:ind w:firstLine="284"/>
        <w:jc w:val="both"/>
        <w:rPr>
          <w:rStyle w:val="Char"/>
          <w:rtl/>
        </w:rPr>
      </w:pPr>
      <w:r w:rsidRPr="0092648A">
        <w:rPr>
          <w:rStyle w:val="Char"/>
          <w:rFonts w:hint="cs"/>
          <w:rtl/>
        </w:rPr>
        <w:t>اعتمدت طريقة بحثه على ذكر 11 فصلاً أورد فيها الأصول والمبادئ التي يؤمن بها ثم اهتم بعد كل أصلٍ بموضوعَين بشكل خاص: الأول ذكره لفقرة أو فقرتين في شرح ذلك الأصل تبين حدوده وقيوده، والموضوع الثاني بيان الدليل القرآني أو - احتمالاً - الدليل الحديثي لهذا الأصل مع ترجمة الآية أو الآيات التي تدل عليه إلى اللغة الفارسية، مع شرح مختصر للآية أو الآيات إذا لزم الأمر.</w:t>
      </w:r>
      <w:r w:rsidRPr="006E28E9">
        <w:rPr>
          <w:rStyle w:val="Char"/>
          <w:rFonts w:ascii="Arabic11 BT" w:hAnsi="Arabic11 BT" w:cs="Arabic11 BT"/>
          <w:vertAlign w:val="superscript"/>
          <w:rtl/>
        </w:rPr>
        <w:footnoteReference w:id="311"/>
      </w:r>
    </w:p>
    <w:p w:rsidR="00DA6CFB" w:rsidRDefault="00DA6CFB" w:rsidP="0092648A">
      <w:pPr>
        <w:pStyle w:val="2"/>
        <w:rPr>
          <w:rtl/>
        </w:rPr>
      </w:pPr>
      <w:bookmarkStart w:id="33" w:name="_Toc444083820"/>
      <w:r>
        <w:rPr>
          <w:rFonts w:hint="cs"/>
          <w:rtl/>
        </w:rPr>
        <w:lastRenderedPageBreak/>
        <w:t>9. الميرزا يوسف شُعَار</w:t>
      </w:r>
      <w:bookmarkEnd w:id="33"/>
    </w:p>
    <w:p w:rsidR="00DA6CFB" w:rsidRPr="0092648A" w:rsidRDefault="00DA6CFB" w:rsidP="0092648A">
      <w:pPr>
        <w:widowControl w:val="0"/>
        <w:spacing w:line="216" w:lineRule="auto"/>
        <w:ind w:firstLine="284"/>
        <w:jc w:val="both"/>
        <w:rPr>
          <w:rStyle w:val="Char"/>
          <w:rtl/>
        </w:rPr>
      </w:pPr>
      <w:r w:rsidRPr="0092648A">
        <w:rPr>
          <w:rStyle w:val="Char"/>
          <w:rFonts w:hint="cs"/>
          <w:rtl/>
        </w:rPr>
        <w:t>أحد التيارات المحلية في إيران التي كان لها حضور في ساحة التدريس والتأليف والدعوة الدينية مع اتصافها بخصائص هذا التيار الإصلاحي التصحيحي، تيار «شُعَار» في مدينة تبريز. درس الميرزا يوسف شُعَار (وُلِد عام 1281 هـ.ش/ 1902م) العلوم الدينية في مدرسة الطالبية والمدرسة الجعفرية في تبريز، لكنه سرعان ما وصل إلى شعور بضرورة الاتجاه نحو القرآن لأجل محاربة ما يسميه بالخرافات، وهي دعوةٌ كانت سلعةً رائجةً لدى من يرفعون شعار الإصلاح والتصحيح في ذلك الزمن. كان يمارس عملًا حُرًّا، ولكنه كان ينفق كثيرًا من أوقاته في الدعوة الدينية، وقد ركّز كل اهتمامه - استناداً إلى تلك النظرة التي أشرنا إليها - على تفسير القرآن، وأوجد مركزاً في تبريز يدور حول أفكاره. كان تاريخ تأسيس درس التفسير هذا هو سنة 1304 هـ.ش (1345 هـ.ق) في حي غياث في مدينة تبريز.</w:t>
      </w:r>
      <w:r w:rsidRPr="006E28E9">
        <w:rPr>
          <w:rStyle w:val="Char"/>
          <w:rFonts w:ascii="Arabic11 BT" w:hAnsi="Arabic11 BT" w:cs="Arabic11 BT"/>
          <w:vertAlign w:val="superscript"/>
          <w:rtl/>
        </w:rPr>
        <w:footnoteReference w:id="312"/>
      </w:r>
      <w:r w:rsidRPr="0092648A">
        <w:rPr>
          <w:rStyle w:val="Char"/>
          <w:rFonts w:hint="cs"/>
          <w:rtl/>
        </w:rPr>
        <w:t xml:space="preserve"> كان لدى يوسف شُعَار أنصاره وأتباعه الخاصين به في تبريز وكان يُطْلَق عليهم لقب «الشُّعَاريين». بعد ذلك انتقل شُعار سنة 1340 هـ.ش [1961م] إلى طهران، وأقام هنالك مجالس تفسيره. ثم واصل ابنه جعفر شُعَار دروس التفسير تلك.</w:t>
      </w:r>
      <w:r w:rsidRPr="006E28E9">
        <w:rPr>
          <w:rStyle w:val="Char"/>
          <w:rFonts w:ascii="Arabic11 BT" w:hAnsi="Arabic11 BT" w:cs="Arabic11 BT"/>
          <w:vertAlign w:val="superscript"/>
          <w:rtl/>
        </w:rPr>
        <w:footnoteReference w:id="313"/>
      </w:r>
    </w:p>
    <w:p w:rsidR="00DA6CFB" w:rsidRPr="0092648A" w:rsidRDefault="00DA6CFB" w:rsidP="0092648A">
      <w:pPr>
        <w:widowControl w:val="0"/>
        <w:spacing w:line="216" w:lineRule="auto"/>
        <w:ind w:firstLine="284"/>
        <w:jc w:val="both"/>
        <w:rPr>
          <w:rStyle w:val="Char"/>
          <w:rtl/>
        </w:rPr>
      </w:pPr>
      <w:r w:rsidRPr="0092648A">
        <w:rPr>
          <w:rStyle w:val="Char"/>
          <w:rFonts w:hint="cs"/>
          <w:rtl/>
        </w:rPr>
        <w:t>توفي الميرزا يوسف شُعار في العاشر من شهر ارديبهشت عام 1351 هـ.ش. [شهر آذار، 1972م]. جاء في ترجمته: الأستاذ رفيع القدر الذي كان متفقًا في فكره مع العلماء المسلمين المتنورين مثل المرحوم شريعت سنگلجي وخالصي زاده وعسكر آبادي ونظائرهم وكانت بينه وبينهم مكاتبات وزيارات ولقاءات وتشاطر في الفكر.</w:t>
      </w:r>
      <w:r w:rsidRPr="006E28E9">
        <w:rPr>
          <w:rStyle w:val="Char"/>
          <w:rFonts w:ascii="Arabic11 BT" w:hAnsi="Arabic11 BT" w:cs="Arabic11 BT"/>
          <w:vertAlign w:val="superscript"/>
          <w:rtl/>
        </w:rPr>
        <w:footnoteReference w:id="314"/>
      </w:r>
    </w:p>
    <w:p w:rsidR="00DA6CFB" w:rsidRPr="0092648A" w:rsidRDefault="00DA6CFB" w:rsidP="0092648A">
      <w:pPr>
        <w:widowControl w:val="0"/>
        <w:spacing w:line="216" w:lineRule="auto"/>
        <w:ind w:firstLine="284"/>
        <w:jc w:val="both"/>
        <w:rPr>
          <w:rStyle w:val="Char"/>
          <w:rtl/>
        </w:rPr>
      </w:pPr>
      <w:r w:rsidRPr="0092648A">
        <w:rPr>
          <w:rStyle w:val="Char"/>
          <w:rFonts w:hint="cs"/>
          <w:rtl/>
        </w:rPr>
        <w:t>بعد وفاته كتب قلمداران رسالة تعزية طويلة طُبِعَت في نهاية ترجمة سيرة يوسف شُعار.</w:t>
      </w:r>
      <w:r w:rsidRPr="006E28E9">
        <w:rPr>
          <w:rStyle w:val="Char"/>
          <w:rFonts w:ascii="Arabic11 BT" w:hAnsi="Arabic11 BT" w:cs="Arabic11 BT"/>
          <w:vertAlign w:val="superscript"/>
          <w:rtl/>
        </w:rPr>
        <w:footnoteReference w:id="315"/>
      </w:r>
    </w:p>
    <w:p w:rsidR="00DA6CFB" w:rsidRPr="0092648A" w:rsidRDefault="00DA6CFB" w:rsidP="0092648A">
      <w:pPr>
        <w:widowControl w:val="0"/>
        <w:spacing w:line="216" w:lineRule="auto"/>
        <w:ind w:firstLine="284"/>
        <w:jc w:val="both"/>
        <w:rPr>
          <w:rStyle w:val="Char"/>
          <w:rtl/>
        </w:rPr>
      </w:pPr>
      <w:r w:rsidRPr="0092648A">
        <w:rPr>
          <w:rStyle w:val="Char"/>
          <w:rFonts w:hint="cs"/>
          <w:rtl/>
        </w:rPr>
        <w:t>كتب يوسف شُعار رسالةً بعنوان «</w:t>
      </w:r>
      <w:r w:rsidRPr="001809AD">
        <w:rPr>
          <w:rStyle w:val="Char7"/>
          <w:rFonts w:hint="cs"/>
          <w:rtl/>
        </w:rPr>
        <w:t>المحكم والمتشابه</w:t>
      </w:r>
      <w:r w:rsidRPr="0092648A">
        <w:rPr>
          <w:rStyle w:val="Char"/>
          <w:rFonts w:hint="cs"/>
          <w:rtl/>
        </w:rPr>
        <w:t xml:space="preserve">»، شأنه في ذلك شأن معظم الإصلاحيين الآخرين الذين تحركوا في هذا الخط. كانت وجهة نظره بشأن القرآن أن القرآن قابل للفهم على نحو </w:t>
      </w:r>
      <w:r w:rsidRPr="0092648A">
        <w:rPr>
          <w:rStyle w:val="Char"/>
          <w:rFonts w:hint="cs"/>
          <w:rtl/>
        </w:rPr>
        <w:lastRenderedPageBreak/>
        <w:t xml:space="preserve">مستقل دون الحاجة إلى تفسيره على ضوء الأحاديث، هذا رغم أن بعض الأحاديث تعين على فهم بعض آيات القرآن. وفي مقابل العقيدة السائدة بين الأصوليين بأن القرآن ظني الدلالة، كان شُعار يرى أن القرآن قطعي الصدور وقطعي الدلالة أيضًا، </w:t>
      </w:r>
      <w:r w:rsidRPr="0092648A">
        <w:rPr>
          <w:rStyle w:val="Char"/>
          <w:rtl/>
        </w:rPr>
        <w:t>وَمِنْ ثَمَّ</w:t>
      </w:r>
      <w:r w:rsidRPr="0092648A">
        <w:rPr>
          <w:rStyle w:val="Char"/>
          <w:rFonts w:hint="cs"/>
          <w:rtl/>
        </w:rPr>
        <w:t xml:space="preserve"> فالقرآن هو المحور والمعيار لمعرفة كل شيء بما في ذلك معرفة الخرافات وتمييزها عن حقائق الدين. وحول موضوع المحكم والمتشابه كانت عقيدته أن متشابهات القرآن منحصرة بالآيات التي تتحدث عن ذات الله وصفاته وعن المعاد وعوالم الروح والجن والملائكة وأسرار الخلقة، وليس الأمر أن كل آية يصعب فهمها تُعْتَبَر من المتشابه.</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وكانت عقيدته بشأن الخرافات أنه «ينبغي الإقرار بأن عقائد </w:t>
      </w:r>
      <w:r w:rsidRPr="0092648A">
        <w:rPr>
          <w:rStyle w:val="Char8"/>
          <w:rFonts w:hint="cs"/>
          <w:rtl/>
        </w:rPr>
        <w:t>المسلم</w:t>
      </w:r>
      <w:r w:rsidR="008C7124">
        <w:rPr>
          <w:rStyle w:val="Char8"/>
          <w:rFonts w:hint="cs"/>
          <w:rtl/>
        </w:rPr>
        <w:t>ی</w:t>
      </w:r>
      <w:r w:rsidRPr="0092648A">
        <w:rPr>
          <w:rStyle w:val="Char8"/>
          <w:rFonts w:hint="cs"/>
          <w:rtl/>
        </w:rPr>
        <w:t>ن</w:t>
      </w:r>
      <w:r w:rsidRPr="0092648A">
        <w:rPr>
          <w:rStyle w:val="Char"/>
          <w:rFonts w:hint="cs"/>
          <w:rtl/>
        </w:rPr>
        <w:t xml:space="preserve"> امتزجت بقدر كبير من الخرافات والبدع التي لا تتفق مع نصوص القرآن، ومنها الاعتقاد المغالي لبعض </w:t>
      </w:r>
      <w:r w:rsidRPr="0092648A">
        <w:rPr>
          <w:rStyle w:val="Char8"/>
          <w:rFonts w:hint="cs"/>
          <w:rtl/>
        </w:rPr>
        <w:t>المسلم</w:t>
      </w:r>
      <w:r w:rsidR="008C7124">
        <w:rPr>
          <w:rStyle w:val="Char8"/>
          <w:rFonts w:hint="cs"/>
          <w:rtl/>
        </w:rPr>
        <w:t>ی</w:t>
      </w:r>
      <w:r w:rsidRPr="0092648A">
        <w:rPr>
          <w:rStyle w:val="Char8"/>
          <w:rFonts w:hint="cs"/>
          <w:rtl/>
        </w:rPr>
        <w:t>ن</w:t>
      </w:r>
      <w:r w:rsidRPr="0092648A">
        <w:rPr>
          <w:rStyle w:val="Char"/>
          <w:rFonts w:hint="cs"/>
          <w:rtl/>
        </w:rPr>
        <w:t xml:space="preserve"> بأئمة الإسلام الأجلاء، وأنه على الرغم من العلم بأن الإسلام دين التوحيد الخالص وأنه لابد من الاستعانة بالله في كل أمر من الأمور، هناك حالات يقوم فيها بعض الناس- عن جهل- بالاستعانة بأشخاص آخرين وحتى بالقبور وسائر الأشياء».</w:t>
      </w:r>
      <w:r w:rsidRPr="006E28E9">
        <w:rPr>
          <w:rStyle w:val="Char"/>
          <w:rFonts w:ascii="Arabic11 BT" w:hAnsi="Arabic11 BT" w:cs="Arabic11 BT"/>
          <w:vertAlign w:val="superscript"/>
          <w:rtl/>
        </w:rPr>
        <w:footnoteReference w:id="316"/>
      </w:r>
      <w:r w:rsidRPr="0092648A">
        <w:rPr>
          <w:rStyle w:val="Char"/>
          <w:rFonts w:hint="cs"/>
          <w:rtl/>
        </w:rPr>
        <w:t xml:space="preserve"> رغم أن شُعار استخدم هنا عبارة «</w:t>
      </w:r>
      <w:r w:rsidRPr="0092648A">
        <w:rPr>
          <w:rStyle w:val="Char8"/>
          <w:rFonts w:hint="cs"/>
          <w:rtl/>
        </w:rPr>
        <w:t>المسلم</w:t>
      </w:r>
      <w:r w:rsidR="008C7124">
        <w:rPr>
          <w:rStyle w:val="Char8"/>
          <w:rFonts w:hint="cs"/>
          <w:rtl/>
        </w:rPr>
        <w:t>ی</w:t>
      </w:r>
      <w:r w:rsidRPr="0092648A">
        <w:rPr>
          <w:rStyle w:val="Char8"/>
          <w:rFonts w:hint="cs"/>
          <w:rtl/>
        </w:rPr>
        <w:t>ن</w:t>
      </w:r>
      <w:r w:rsidRPr="0092648A">
        <w:rPr>
          <w:rStyle w:val="Char"/>
          <w:rFonts w:hint="cs"/>
          <w:rtl/>
        </w:rPr>
        <w:t xml:space="preserve">»، إلا أنه من الواضح أنه يقصد بكلامه </w:t>
      </w:r>
      <w:r w:rsidRPr="0092648A">
        <w:rPr>
          <w:rStyle w:val="Char8"/>
          <w:rFonts w:hint="cs"/>
          <w:rtl/>
        </w:rPr>
        <w:t>الش</w:t>
      </w:r>
      <w:r w:rsidR="008C7124">
        <w:rPr>
          <w:rStyle w:val="Char8"/>
          <w:rFonts w:hint="cs"/>
          <w:rtl/>
        </w:rPr>
        <w:t>ی</w:t>
      </w:r>
      <w:r w:rsidRPr="0092648A">
        <w:rPr>
          <w:rStyle w:val="Char8"/>
          <w:rFonts w:hint="cs"/>
          <w:rtl/>
        </w:rPr>
        <w:t>ع</w:t>
      </w:r>
      <w:r w:rsidR="008C7124">
        <w:rPr>
          <w:rStyle w:val="Char8"/>
          <w:rFonts w:hint="cs"/>
          <w:rtl/>
        </w:rPr>
        <w:t>ۀ</w:t>
      </w:r>
      <w:r w:rsidRPr="0092648A">
        <w:rPr>
          <w:rStyle w:val="Char"/>
          <w:rFonts w:hint="cs"/>
          <w:rtl/>
        </w:rPr>
        <w:t xml:space="preserve"> بالتحديد.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شُعَار يعتقد أن «الاعتصام بحبل الله هو الطريق الوحيد لحل الاختلافات الشائعة بين المسلمين». وطريقة تطبيق هذا الأمر هي: «ذلك الطريق والمنهج ذاته الذي اختاره عليٌّ </w:t>
      </w:r>
      <w:r w:rsidR="00924380" w:rsidRPr="00924380">
        <w:rPr>
          <w:rStyle w:val="Char"/>
          <w:rFonts w:cs="CTraditional Arabic" w:hint="cs"/>
          <w:rtl/>
        </w:rPr>
        <w:t>÷</w:t>
      </w:r>
      <w:r w:rsidRPr="0092648A">
        <w:rPr>
          <w:rStyle w:val="Char"/>
          <w:rFonts w:hint="cs"/>
          <w:rtl/>
        </w:rPr>
        <w:t xml:space="preserve"> بعد نبي الإسلام الكريم </w:t>
      </w:r>
      <w:r w:rsidR="001809AD" w:rsidRPr="001809AD">
        <w:rPr>
          <w:rStyle w:val="Char"/>
          <w:rFonts w:cs="CTraditional Arabic"/>
          <w:rtl/>
        </w:rPr>
        <w:t>ص</w:t>
      </w:r>
      <w:r w:rsidRPr="0092648A">
        <w:rPr>
          <w:rStyle w:val="Char"/>
          <w:rFonts w:hint="cs"/>
          <w:rtl/>
        </w:rPr>
        <w:t xml:space="preserve"> لأجل المحافظة على وحدة المجتمع الإسلامي»</w:t>
      </w:r>
      <w:r w:rsidRPr="006E28E9">
        <w:rPr>
          <w:rStyle w:val="Char"/>
          <w:rFonts w:ascii="Arabic11 BT" w:hAnsi="Arabic11 BT" w:cs="Arabic11 BT"/>
          <w:vertAlign w:val="superscript"/>
          <w:rtl/>
        </w:rPr>
        <w:footnoteReference w:id="317"/>
      </w:r>
      <w:r w:rsidRPr="0092648A">
        <w:rPr>
          <w:rStyle w:val="Char"/>
          <w:rFonts w:hint="cs"/>
          <w:rtl/>
        </w:rPr>
        <w:t xml:space="preserve">. </w:t>
      </w:r>
    </w:p>
    <w:p w:rsidR="00DA6CFB" w:rsidRPr="0092648A" w:rsidRDefault="00DA6CFB" w:rsidP="00924380">
      <w:pPr>
        <w:widowControl w:val="0"/>
        <w:spacing w:line="216" w:lineRule="auto"/>
        <w:ind w:firstLine="284"/>
        <w:jc w:val="both"/>
        <w:rPr>
          <w:rStyle w:val="Char"/>
          <w:rtl/>
        </w:rPr>
      </w:pPr>
      <w:r w:rsidRPr="0092648A">
        <w:rPr>
          <w:rStyle w:val="Char"/>
          <w:rFonts w:hint="cs"/>
          <w:rtl/>
        </w:rPr>
        <w:t xml:space="preserve">كان يوسف شُعَار، شأنه في ذلك شأن كثير من العلماء المتنورين العصريين في ذلك العهد، يعتقد بوجوب صلاة الجمعة، وكانت عقيدته حول قبور الأولياء والأئمة أيضًا أن «أن الاستعانة وطلب الحوائج يجب أن يكونا من الله وحده فقط، وأنه لا تجوز الاستعانة وطلب الحوائج من الأشخاص أو من قبور الأنبياء والأئمة </w:t>
      </w:r>
      <w:r w:rsidR="00924380">
        <w:rPr>
          <w:rStyle w:val="Char"/>
          <w:rFonts w:cs="CTraditional Arabic" w:hint="cs"/>
          <w:rtl/>
        </w:rPr>
        <w:t>†</w:t>
      </w:r>
      <w:r w:rsidRPr="0092648A">
        <w:rPr>
          <w:rStyle w:val="Char"/>
          <w:rFonts w:hint="cs"/>
          <w:rtl/>
        </w:rPr>
        <w:t>، أما الشفاعة يوم القيامة فقد بينها القرآن بشكل صريح وهي من العقائد الضرورية، كل ما في الأمر أنها محدودة بالإذن الإلهي»</w:t>
      </w:r>
      <w:r w:rsidRPr="006E28E9">
        <w:rPr>
          <w:rStyle w:val="Char"/>
          <w:rFonts w:ascii="Arabic11 BT" w:hAnsi="Arabic11 BT" w:cs="Arabic11 BT"/>
          <w:vertAlign w:val="superscript"/>
          <w:rtl/>
        </w:rPr>
        <w:footnoteReference w:id="318"/>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في الكُتَيِّب الذي أعدَّه عددٌ من زملائه في العقيدة والفكر لذكرى وفاته، كَتَبَ كلٌّ من أبو فضل </w:t>
      </w:r>
      <w:r w:rsidRPr="0092648A">
        <w:rPr>
          <w:rStyle w:val="Char"/>
          <w:rFonts w:hint="cs"/>
          <w:rtl/>
        </w:rPr>
        <w:lastRenderedPageBreak/>
        <w:t>البرقعي، وحيدر علي قلمداران، وجعفر شعار، ومصطفى شُعَار، (مدير مجلس تفسير القرآن في تبريز) وآخرون.... مقالاتٍ عنه. كما نُشِرَ بمناسبة مرور أربعين يوم على وفاته كُتَيِّبٌ بعنوان «</w:t>
      </w:r>
      <w:r w:rsidRPr="0092648A">
        <w:rPr>
          <w:rStyle w:val="Char8"/>
          <w:rFonts w:hint="cs"/>
          <w:rtl/>
        </w:rPr>
        <w:t>زندگىنامه علامه فق</w:t>
      </w:r>
      <w:r w:rsidR="008C7124">
        <w:rPr>
          <w:rStyle w:val="Char8"/>
          <w:rFonts w:hint="cs"/>
          <w:rtl/>
        </w:rPr>
        <w:t>ی</w:t>
      </w:r>
      <w:r w:rsidRPr="0092648A">
        <w:rPr>
          <w:rStyle w:val="Char8"/>
          <w:rFonts w:hint="cs"/>
          <w:rtl/>
        </w:rPr>
        <w:t>د مفسر شه</w:t>
      </w:r>
      <w:r w:rsidR="008C7124">
        <w:rPr>
          <w:rStyle w:val="Char8"/>
          <w:rFonts w:hint="cs"/>
          <w:rtl/>
        </w:rPr>
        <w:t>ی</w:t>
      </w:r>
      <w:r w:rsidRPr="0092648A">
        <w:rPr>
          <w:rStyle w:val="Char8"/>
          <w:rFonts w:hint="cs"/>
          <w:rtl/>
        </w:rPr>
        <w:t>ر قرآن مج</w:t>
      </w:r>
      <w:r w:rsidR="008C7124">
        <w:rPr>
          <w:rStyle w:val="Char8"/>
          <w:rFonts w:hint="cs"/>
          <w:rtl/>
        </w:rPr>
        <w:t>ی</w:t>
      </w:r>
      <w:r w:rsidRPr="0092648A">
        <w:rPr>
          <w:rStyle w:val="Char8"/>
          <w:rFonts w:hint="cs"/>
          <w:rtl/>
        </w:rPr>
        <w:t>د شادروان آقاى حاج م</w:t>
      </w:r>
      <w:r w:rsidR="008C7124">
        <w:rPr>
          <w:rStyle w:val="Char8"/>
          <w:rFonts w:hint="cs"/>
          <w:rtl/>
        </w:rPr>
        <w:t>ی</w:t>
      </w:r>
      <w:r w:rsidRPr="0092648A">
        <w:rPr>
          <w:rStyle w:val="Char8"/>
          <w:rFonts w:hint="cs"/>
          <w:rtl/>
        </w:rPr>
        <w:t xml:space="preserve">رزا </w:t>
      </w:r>
      <w:r w:rsidR="008C7124">
        <w:rPr>
          <w:rStyle w:val="Char8"/>
          <w:rFonts w:hint="cs"/>
          <w:rtl/>
        </w:rPr>
        <w:t>ی</w:t>
      </w:r>
      <w:r w:rsidRPr="0092648A">
        <w:rPr>
          <w:rStyle w:val="Char8"/>
          <w:rFonts w:hint="cs"/>
          <w:rtl/>
        </w:rPr>
        <w:t>وسف شعار</w:t>
      </w:r>
      <w:r w:rsidRPr="0092648A">
        <w:rPr>
          <w:rStyle w:val="Char"/>
          <w:rFonts w:hint="cs"/>
          <w:rtl/>
        </w:rPr>
        <w:t>» [أي: سيرة حياة العلامة الفقيد مفسر القرآن الشهير المرحوم السيد الحاج ميرزا يوسف شعار]. وأقيمت على وفاته مجالس الترحيم والعزاء في طهران، حضرها «العلماء الأعلام، وأعضاء مجلس الشيوخ، وممثلو تبريز في مجلس الشيوخ ومجلس الشورى الوطني» وآخرون كثيرون.</w:t>
      </w:r>
      <w:r w:rsidRPr="006E28E9">
        <w:rPr>
          <w:rStyle w:val="Char"/>
          <w:rFonts w:ascii="Arabic11 BT" w:hAnsi="Arabic11 BT" w:cs="Arabic11 BT"/>
          <w:vertAlign w:val="superscript"/>
          <w:rtl/>
        </w:rPr>
        <w:footnoteReference w:id="319"/>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ألَّف يوسف شُعَار عددًا من الكتب. أول كتبه «</w:t>
      </w:r>
      <w:r w:rsidRPr="0092648A">
        <w:rPr>
          <w:rStyle w:val="Char8"/>
          <w:rFonts w:hint="cs"/>
          <w:rtl/>
        </w:rPr>
        <w:t>تفس</w:t>
      </w:r>
      <w:r w:rsidR="008C7124">
        <w:rPr>
          <w:rStyle w:val="Char8"/>
          <w:rFonts w:hint="cs"/>
          <w:rtl/>
        </w:rPr>
        <w:t>ی</w:t>
      </w:r>
      <w:r w:rsidRPr="0092648A">
        <w:rPr>
          <w:rStyle w:val="Char8"/>
          <w:rFonts w:hint="cs"/>
          <w:rtl/>
        </w:rPr>
        <w:t>ر آ</w:t>
      </w:r>
      <w:r w:rsidR="008C7124">
        <w:rPr>
          <w:rStyle w:val="Char8"/>
          <w:rFonts w:hint="cs"/>
          <w:rtl/>
        </w:rPr>
        <w:t>ی</w:t>
      </w:r>
      <w:r w:rsidRPr="0092648A">
        <w:rPr>
          <w:rStyle w:val="Char8"/>
          <w:rFonts w:hint="cs"/>
          <w:rtl/>
        </w:rPr>
        <w:t>ات مش</w:t>
      </w:r>
      <w:r w:rsidR="008C7124">
        <w:rPr>
          <w:rStyle w:val="Char8"/>
          <w:rFonts w:hint="cs"/>
          <w:rtl/>
        </w:rPr>
        <w:t>ک</w:t>
      </w:r>
      <w:r w:rsidRPr="0092648A">
        <w:rPr>
          <w:rStyle w:val="Char8"/>
          <w:rFonts w:hint="cs"/>
          <w:rtl/>
        </w:rPr>
        <w:t>له</w:t>
      </w:r>
      <w:r w:rsidRPr="0092648A">
        <w:rPr>
          <w:rStyle w:val="Char"/>
          <w:rFonts w:hint="cs"/>
          <w:rtl/>
        </w:rPr>
        <w:t>» [تفسير الآيات المشكلة]، الذي طبع سنة 1339 هـ.ش [1960م].</w:t>
      </w:r>
      <w:r w:rsidRPr="006E28E9">
        <w:rPr>
          <w:rStyle w:val="Char"/>
          <w:rFonts w:ascii="Arabic11 BT" w:hAnsi="Arabic11 BT" w:cs="Arabic11 BT"/>
          <w:vertAlign w:val="superscript"/>
          <w:rtl/>
        </w:rPr>
        <w:footnoteReference w:id="320"/>
      </w:r>
      <w:r w:rsidRPr="0092648A">
        <w:rPr>
          <w:rStyle w:val="Char"/>
          <w:rFonts w:hint="cs"/>
          <w:rtl/>
        </w:rPr>
        <w:t xml:space="preserve"> وكتابه الثاني «</w:t>
      </w:r>
      <w:r w:rsidRPr="0092648A">
        <w:rPr>
          <w:rStyle w:val="Char8"/>
          <w:rFonts w:hint="cs"/>
          <w:rtl/>
        </w:rPr>
        <w:t>رساله مح</w:t>
      </w:r>
      <w:r w:rsidR="008C7124">
        <w:rPr>
          <w:rStyle w:val="Char8"/>
          <w:rFonts w:hint="cs"/>
          <w:rtl/>
        </w:rPr>
        <w:t>ک</w:t>
      </w:r>
      <w:r w:rsidRPr="0092648A">
        <w:rPr>
          <w:rStyle w:val="Char8"/>
          <w:rFonts w:hint="cs"/>
          <w:rtl/>
        </w:rPr>
        <w:t>مات ومتشابهات در قرآن</w:t>
      </w:r>
      <w:r w:rsidRPr="0092648A">
        <w:rPr>
          <w:rStyle w:val="Char"/>
          <w:rFonts w:hint="cs"/>
          <w:rtl/>
        </w:rPr>
        <w:t>» [رسالة حول المحكمات والمتشابهات في القرآن].</w:t>
      </w:r>
      <w:r w:rsidRPr="006E28E9">
        <w:rPr>
          <w:rStyle w:val="Char"/>
          <w:rFonts w:ascii="Arabic11 BT" w:hAnsi="Arabic11 BT" w:cs="Arabic11 BT"/>
          <w:vertAlign w:val="superscript"/>
          <w:rtl/>
        </w:rPr>
        <w:footnoteReference w:id="321"/>
      </w:r>
      <w:r w:rsidRPr="0092648A">
        <w:rPr>
          <w:rStyle w:val="Char"/>
          <w:rFonts w:hint="cs"/>
          <w:rtl/>
        </w:rPr>
        <w:t xml:space="preserve"> كتابه الثالث «</w:t>
      </w:r>
      <w:r w:rsidRPr="0092648A">
        <w:rPr>
          <w:rStyle w:val="Char8"/>
          <w:rFonts w:hint="cs"/>
          <w:rtl/>
        </w:rPr>
        <w:t>مقدمات تفس</w:t>
      </w:r>
      <w:r w:rsidR="008C7124">
        <w:rPr>
          <w:rStyle w:val="Char8"/>
          <w:rFonts w:hint="cs"/>
          <w:rtl/>
        </w:rPr>
        <w:t>ی</w:t>
      </w:r>
      <w:r w:rsidRPr="0092648A">
        <w:rPr>
          <w:rStyle w:val="Char8"/>
          <w:rFonts w:hint="cs"/>
          <w:rtl/>
        </w:rPr>
        <w:t>ر</w:t>
      </w:r>
      <w:r w:rsidRPr="0092648A">
        <w:rPr>
          <w:rStyle w:val="Char"/>
          <w:rFonts w:hint="cs"/>
          <w:rtl/>
        </w:rPr>
        <w:t>»، وكتابه الرابع «</w:t>
      </w:r>
      <w:r w:rsidRPr="0092648A">
        <w:rPr>
          <w:rStyle w:val="Char8"/>
          <w:rFonts w:hint="cs"/>
          <w:rtl/>
        </w:rPr>
        <w:t>تفس</w:t>
      </w:r>
      <w:r w:rsidR="008C7124">
        <w:rPr>
          <w:rStyle w:val="Char8"/>
          <w:rFonts w:hint="cs"/>
          <w:rtl/>
        </w:rPr>
        <w:t>ی</w:t>
      </w:r>
      <w:r w:rsidRPr="0092648A">
        <w:rPr>
          <w:rStyle w:val="Char8"/>
          <w:rFonts w:hint="cs"/>
          <w:rtl/>
        </w:rPr>
        <w:t>ر سوره جمعه ومنافقون</w:t>
      </w:r>
      <w:r w:rsidRPr="0092648A">
        <w:rPr>
          <w:rStyle w:val="Char"/>
          <w:rFonts w:hint="cs"/>
          <w:rtl/>
        </w:rPr>
        <w:t>». وقد دُوِّنَتْ دروسُ تفسيرِهِ وكان نشرها يتواصل حتى سنة 1351 هـ.ش. [1972م]. وله كتاب آخر هو «</w:t>
      </w:r>
      <w:r w:rsidRPr="0092648A">
        <w:rPr>
          <w:rStyle w:val="Char8"/>
          <w:rFonts w:hint="cs"/>
          <w:rtl/>
        </w:rPr>
        <w:t>تناقضات پ</w:t>
      </w:r>
      <w:r w:rsidR="008C7124">
        <w:rPr>
          <w:rStyle w:val="Char8"/>
          <w:rFonts w:hint="cs"/>
          <w:rtl/>
        </w:rPr>
        <w:t>ی</w:t>
      </w:r>
      <w:r w:rsidRPr="0092648A">
        <w:rPr>
          <w:rStyle w:val="Char8"/>
          <w:rFonts w:hint="cs"/>
          <w:rtl/>
        </w:rPr>
        <w:t>مان وپرچم</w:t>
      </w:r>
      <w:r w:rsidRPr="0092648A">
        <w:rPr>
          <w:rStyle w:val="Char"/>
          <w:rFonts w:hint="cs"/>
          <w:rtl/>
        </w:rPr>
        <w:t>» [أي التناقضات في مجلَّتَي پيمان و پرچم] كتبه أحد أصدقائه استناداً إلى المدونات التي كان شُعَار قد كتبها حول تحريفات كسروي وعقائده الباطلة.</w:t>
      </w:r>
      <w:r w:rsidRPr="006E28E9">
        <w:rPr>
          <w:rStyle w:val="Char"/>
          <w:rFonts w:ascii="Arabic11 BT" w:hAnsi="Arabic11 BT" w:cs="Arabic11 BT"/>
          <w:vertAlign w:val="superscript"/>
          <w:rtl/>
        </w:rPr>
        <w:footnoteReference w:id="322"/>
      </w:r>
      <w:r w:rsidRPr="0092648A">
        <w:rPr>
          <w:rStyle w:val="Char"/>
          <w:rFonts w:hint="cs"/>
          <w:rtl/>
        </w:rPr>
        <w:t xml:space="preserve"> قام مركز النشر التابع لمجلس التفسير في تبريز بنشر كتابه «</w:t>
      </w:r>
      <w:r w:rsidRPr="0092648A">
        <w:rPr>
          <w:rStyle w:val="Char8"/>
          <w:rFonts w:hint="cs"/>
          <w:rtl/>
        </w:rPr>
        <w:t>مقدمات تفس</w:t>
      </w:r>
      <w:r w:rsidR="008C7124">
        <w:rPr>
          <w:rStyle w:val="Char8"/>
          <w:rFonts w:hint="cs"/>
          <w:rtl/>
        </w:rPr>
        <w:t>ی</w:t>
      </w:r>
      <w:r w:rsidRPr="0092648A">
        <w:rPr>
          <w:rStyle w:val="Char8"/>
          <w:rFonts w:hint="cs"/>
          <w:rtl/>
        </w:rPr>
        <w:t>ر</w:t>
      </w:r>
      <w:r w:rsidRPr="0092648A">
        <w:rPr>
          <w:rStyle w:val="Char"/>
          <w:rFonts w:hint="cs"/>
          <w:rtl/>
        </w:rPr>
        <w:t xml:space="preserve">» سنة 1323 هـ.ش (1364 هـ.ق.) في مدينة تبريز (مطبعة أختر شمال، ص 80). تضمن الكتاب أبحاثًا حول معنى التفسير بالرأي، وأن القرآن قابل للفهم يمكن لجميعُ الناس أن يفهموه، وحول معنى التأويل والمحكم والمتشابه ونحو ذلك من الموضوعات التي تتعلق بفهم القرآن وإدراك معانيه.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كتابه «</w:t>
      </w:r>
      <w:r w:rsidRPr="0092648A">
        <w:rPr>
          <w:rStyle w:val="Char8"/>
          <w:rFonts w:hint="cs"/>
          <w:rtl/>
        </w:rPr>
        <w:t>تفس</w:t>
      </w:r>
      <w:r w:rsidR="008C7124">
        <w:rPr>
          <w:rStyle w:val="Char8"/>
          <w:rFonts w:hint="cs"/>
          <w:rtl/>
        </w:rPr>
        <w:t>ی</w:t>
      </w:r>
      <w:r w:rsidRPr="0092648A">
        <w:rPr>
          <w:rStyle w:val="Char8"/>
          <w:rFonts w:hint="cs"/>
          <w:rtl/>
        </w:rPr>
        <w:t>ر الآ</w:t>
      </w:r>
      <w:r w:rsidR="008C7124">
        <w:rPr>
          <w:rStyle w:val="Char8"/>
          <w:rFonts w:hint="cs"/>
          <w:rtl/>
        </w:rPr>
        <w:t>ی</w:t>
      </w:r>
      <w:r w:rsidRPr="0092648A">
        <w:rPr>
          <w:rStyle w:val="Char8"/>
          <w:rFonts w:hint="cs"/>
          <w:rtl/>
        </w:rPr>
        <w:t>ات المش</w:t>
      </w:r>
      <w:r w:rsidR="008C7124">
        <w:rPr>
          <w:rStyle w:val="Char8"/>
          <w:rFonts w:hint="cs"/>
          <w:rtl/>
        </w:rPr>
        <w:t>ک</w:t>
      </w:r>
      <w:r w:rsidRPr="0092648A">
        <w:rPr>
          <w:rStyle w:val="Char8"/>
          <w:rFonts w:hint="cs"/>
          <w:rtl/>
        </w:rPr>
        <w:t>له</w:t>
      </w:r>
      <w:r w:rsidRPr="0092648A">
        <w:rPr>
          <w:rStyle w:val="Char"/>
          <w:rFonts w:hint="cs"/>
          <w:rtl/>
        </w:rPr>
        <w:t xml:space="preserve">» أورد شُعَار بعض الآيات المتعلقة بالولاية وفسرها على نحو قريب من التفسير الذي يطرحه أهل السنة لها. يعتقد الأستاذ جعفر سبحاني أن شُعَار كان متأثّراً </w:t>
      </w:r>
      <w:r w:rsidRPr="0092648A">
        <w:rPr>
          <w:rStyle w:val="Char8"/>
          <w:rFonts w:hint="cs"/>
          <w:rtl/>
        </w:rPr>
        <w:t>بتفس</w:t>
      </w:r>
      <w:r w:rsidR="008C7124">
        <w:rPr>
          <w:rStyle w:val="Char8"/>
          <w:rFonts w:hint="cs"/>
          <w:rtl/>
        </w:rPr>
        <w:t>ی</w:t>
      </w:r>
      <w:r w:rsidRPr="0092648A">
        <w:rPr>
          <w:rStyle w:val="Char8"/>
          <w:rFonts w:hint="cs"/>
          <w:rtl/>
        </w:rPr>
        <w:t>ر المنار</w:t>
      </w:r>
      <w:r w:rsidRPr="0092648A">
        <w:rPr>
          <w:rStyle w:val="Char"/>
          <w:rFonts w:hint="cs"/>
          <w:rtl/>
        </w:rPr>
        <w:t xml:space="preserve"> وأنه بسبب الميول الوهابية لرشيد رضا [مؤلف تفسير المنار] فإن هذا الاتجاه [الوهابي] ترك أثره على شُعَار أيضًا. في تلك الفترة ذاتها ألف السيد سبحاني كتاباً عنوانه «</w:t>
      </w:r>
      <w:r w:rsidRPr="0092648A">
        <w:rPr>
          <w:rStyle w:val="Char8"/>
          <w:rFonts w:hint="cs"/>
          <w:rtl/>
        </w:rPr>
        <w:t>تفس</w:t>
      </w:r>
      <w:r w:rsidR="008C7124">
        <w:rPr>
          <w:rStyle w:val="Char8"/>
          <w:rFonts w:hint="cs"/>
          <w:rtl/>
        </w:rPr>
        <w:t>ی</w:t>
      </w:r>
      <w:r w:rsidRPr="0092648A">
        <w:rPr>
          <w:rStyle w:val="Char8"/>
          <w:rFonts w:hint="cs"/>
          <w:rtl/>
        </w:rPr>
        <w:t xml:space="preserve">ر </w:t>
      </w:r>
      <w:r w:rsidRPr="0092648A">
        <w:rPr>
          <w:rStyle w:val="Char8"/>
          <w:rFonts w:hint="cs"/>
          <w:rtl/>
        </w:rPr>
        <w:lastRenderedPageBreak/>
        <w:t>صح</w:t>
      </w:r>
      <w:r w:rsidR="008C7124">
        <w:rPr>
          <w:rStyle w:val="Char8"/>
          <w:rFonts w:hint="cs"/>
          <w:rtl/>
        </w:rPr>
        <w:t>ی</w:t>
      </w:r>
      <w:r w:rsidRPr="0092648A">
        <w:rPr>
          <w:rStyle w:val="Char8"/>
          <w:rFonts w:hint="cs"/>
          <w:rtl/>
        </w:rPr>
        <w:t>ح آ</w:t>
      </w:r>
      <w:r w:rsidR="008C7124">
        <w:rPr>
          <w:rStyle w:val="Char8"/>
          <w:rFonts w:hint="cs"/>
          <w:rtl/>
        </w:rPr>
        <w:t>ی</w:t>
      </w:r>
      <w:r w:rsidRPr="0092648A">
        <w:rPr>
          <w:rStyle w:val="Char8"/>
          <w:rFonts w:hint="cs"/>
          <w:rtl/>
        </w:rPr>
        <w:t>ات مش</w:t>
      </w:r>
      <w:r w:rsidR="008C7124">
        <w:rPr>
          <w:rStyle w:val="Char8"/>
          <w:rFonts w:hint="cs"/>
          <w:rtl/>
        </w:rPr>
        <w:t>ک</w:t>
      </w:r>
      <w:r w:rsidRPr="0092648A">
        <w:rPr>
          <w:rStyle w:val="Char8"/>
          <w:rFonts w:hint="cs"/>
          <w:rtl/>
        </w:rPr>
        <w:t>له</w:t>
      </w:r>
      <w:r w:rsidRPr="0092648A">
        <w:rPr>
          <w:rStyle w:val="Char"/>
          <w:rFonts w:hint="cs"/>
          <w:rtl/>
        </w:rPr>
        <w:t>» ردَّ فيه على كتاب يوسف شُعَار هذا. ونضيف إلى ذلك أن حنيف نجاد، الذي كان من المؤسسين الأوائل لمنظمة مجاهدي خلق،</w:t>
      </w:r>
      <w:r w:rsidRPr="006E28E9">
        <w:rPr>
          <w:rStyle w:val="Char"/>
          <w:rFonts w:ascii="Arabic11 BT" w:hAnsi="Arabic11 BT" w:cs="Arabic11 BT"/>
          <w:vertAlign w:val="superscript"/>
          <w:rtl/>
        </w:rPr>
        <w:footnoteReference w:id="323"/>
      </w:r>
      <w:r w:rsidRPr="0092648A">
        <w:rPr>
          <w:rStyle w:val="Char"/>
          <w:rFonts w:hint="cs"/>
          <w:rtl/>
        </w:rPr>
        <w:t xml:space="preserve"> وكان منذ شبابه ذا ميل وحب لتفسير القرآن، وكان يلقي دروساً في التفسير في جلسات واجتماعات اتحاد الطلبة المسلمين، كان، حسب قول جعفري، قد تعلَّم التفسير من مجالس دروس التفسير التي كان يوسف شُعَار يقيمها في تبريز.</w:t>
      </w:r>
      <w:r w:rsidRPr="006E28E9">
        <w:rPr>
          <w:rStyle w:val="Char"/>
          <w:rFonts w:ascii="Arabic11 BT" w:hAnsi="Arabic11 BT" w:cs="Arabic11 BT"/>
          <w:vertAlign w:val="superscript"/>
          <w:rtl/>
        </w:rPr>
        <w:footnoteReference w:id="324"/>
      </w:r>
    </w:p>
    <w:p w:rsidR="00DA6CFB" w:rsidRDefault="00DA6CFB" w:rsidP="0092648A">
      <w:pPr>
        <w:pStyle w:val="2"/>
        <w:rPr>
          <w:rtl/>
        </w:rPr>
      </w:pPr>
      <w:bookmarkStart w:id="34" w:name="_Toc444083821"/>
      <w:r>
        <w:rPr>
          <w:rFonts w:hint="cs"/>
          <w:rtl/>
        </w:rPr>
        <w:t>10. محمد جواد الغروي الأصفهاني</w:t>
      </w:r>
      <w:bookmarkEnd w:id="34"/>
    </w:p>
    <w:p w:rsidR="00DA6CFB" w:rsidRPr="0092648A" w:rsidRDefault="00DA6CFB" w:rsidP="00924380">
      <w:pPr>
        <w:widowControl w:val="0"/>
        <w:spacing w:line="216" w:lineRule="auto"/>
        <w:ind w:firstLine="284"/>
        <w:jc w:val="both"/>
        <w:rPr>
          <w:rStyle w:val="Char"/>
          <w:rtl/>
        </w:rPr>
      </w:pPr>
      <w:r w:rsidRPr="0092648A">
        <w:rPr>
          <w:rStyle w:val="Char"/>
          <w:rFonts w:hint="cs"/>
          <w:rtl/>
        </w:rPr>
        <w:t>السيد محمد جواد الغروي الأصفهاني</w:t>
      </w:r>
      <w:r w:rsidRPr="006E28E9">
        <w:rPr>
          <w:rStyle w:val="Char"/>
          <w:rFonts w:ascii="Arabic11 BT" w:hAnsi="Arabic11 BT" w:cs="Arabic11 BT"/>
          <w:vertAlign w:val="superscript"/>
          <w:rtl/>
        </w:rPr>
        <w:footnoteReference w:id="325"/>
      </w:r>
      <w:r w:rsidRPr="0092648A">
        <w:rPr>
          <w:rStyle w:val="Char"/>
          <w:rFonts w:hint="cs"/>
          <w:rtl/>
        </w:rPr>
        <w:t xml:space="preserve"> العلون آبادي نموذج آخر للمتجددين الدينيين الذين يمكننا أن نذكرهم في هذا الفصل.</w:t>
      </w:r>
      <w:r w:rsidRPr="006E28E9">
        <w:rPr>
          <w:rStyle w:val="Char"/>
          <w:rFonts w:ascii="Arabic11 BT" w:hAnsi="Arabic11 BT" w:cs="Arabic11 BT"/>
          <w:vertAlign w:val="superscript"/>
          <w:rtl/>
        </w:rPr>
        <w:footnoteReference w:id="326"/>
      </w:r>
      <w:r w:rsidRPr="0092648A">
        <w:rPr>
          <w:rStyle w:val="Char"/>
          <w:rFonts w:hint="cs"/>
          <w:rtl/>
        </w:rPr>
        <w:t xml:space="preserve"> كان أجداده يقطنون في بلدة كوهپايه التابعة لأصفهان؛ ولكنهم </w:t>
      </w:r>
      <w:r w:rsidRPr="0092648A">
        <w:rPr>
          <w:rStyle w:val="Char"/>
          <w:rFonts w:hint="cs"/>
          <w:rtl/>
        </w:rPr>
        <w:lastRenderedPageBreak/>
        <w:t xml:space="preserve">هاجروا لبعض الأسباب نحو أردستان واختاروا السكن فيها. درس محمد جواد مدة من الزمن في مسقط رأسه، ثم ذهب إلى أصفهان ودرس فيها العلوم الدينية على الأساتذة والشيوخ الذين كانوا فيها في تلك الفترة؛ أحد أساتذته شخص باسم آية الله الحاج الآغا رحيم أرباب. كان محمد جواد الغروي منذ شبابه يفكّر في تنقية التشيع وتطهيره، وكان - حسب قوله - «يرد بشدة الأخبار والروايات المعارضة للقرآن والمخالفة لمذهب الشيعة». وكان يؤكد أنه يريد أن ينقي دين الإسلام ومذهب التشيع «من البدع والأخطاء والخلل ويطهرهما منها». ومن الجدير بالذكر أنه كان يعتقد - مثل شيخه وأستاذه المرحوم الحاج آغا رحيم أرباب - بالوجوب العيني لصلاة الجمعة [في كل العصور]، وكان يقيمها عملياً. وقد نُشِرَت مجموعة من خطبه بصورة كُتَيِّبات صغيرة يحمل كل منها عدداً متسلسلاً تحت عنوان </w:t>
      </w:r>
      <w:r w:rsidRPr="0092648A">
        <w:rPr>
          <w:rStyle w:val="Char"/>
          <w:rtl/>
        </w:rPr>
        <w:t>«</w:t>
      </w:r>
      <w:r w:rsidRPr="0092648A">
        <w:rPr>
          <w:rStyle w:val="Char8"/>
          <w:rtl/>
        </w:rPr>
        <w:t>خطبه‌ها و جمعه‌ها</w:t>
      </w:r>
      <w:r w:rsidRPr="0092648A">
        <w:rPr>
          <w:rStyle w:val="Char"/>
          <w:rtl/>
        </w:rPr>
        <w:t>»</w:t>
      </w:r>
      <w:r w:rsidRPr="0092648A">
        <w:rPr>
          <w:rStyle w:val="Char"/>
          <w:rFonts w:hint="cs"/>
          <w:rtl/>
        </w:rPr>
        <w:t xml:space="preserve"> [أي: خُطَب وجُمَع]. عندما كان الحاج آغا رحيم أرباب يقيم صلاة الجمعة في منطقة گورتان ماربين في جادة آتشگاه أصفهان بدأ عدد من الشباب المتدينين يتعرّف على المسائل السياسية وبدؤوا يمارسون نشاطات في هذا المجال ويعقدون اجتماعات فيما بينهم. بعد وفاة الشيخ رحيم أرباب حل محله الشيخ محمد غروي لإقامة صلاة الجمعة فأوجد بذلك انطباعاً أو تصوُّرًا لدى الناس بأنه خليفة الشيخ رحيم أرباب، وكان هناك أعضاء من اتحاد الطلاب ومراكز الطلاب الجامعيين يشاركون في صلوات الجمعة تلك حتى مدة من الزمن.</w:t>
      </w:r>
      <w:r w:rsidRPr="006E28E9">
        <w:rPr>
          <w:rStyle w:val="Char"/>
          <w:rFonts w:ascii="Arabic11 BT" w:hAnsi="Arabic11 BT" w:cs="Arabic11 BT"/>
          <w:vertAlign w:val="superscript"/>
          <w:rtl/>
        </w:rPr>
        <w:footnoteReference w:id="327"/>
      </w:r>
      <w:r w:rsidRPr="0092648A">
        <w:rPr>
          <w:rStyle w:val="Char"/>
          <w:rFonts w:hint="cs"/>
          <w:rtl/>
        </w:rPr>
        <w:t xml:space="preserve"> ورغم ذلك، سرعان ما نشبت بين الغروي وبين عدد من علماء الدين في أصفهان اختلافات مذهبية، واتجه على إثر ذلك نحو الانعزال عنهم. وهنا ينبغي أن نضيف أن الحاج آغا رحيم أرباب ذاته كان متأثراً بأستاذه محمد باقر دَرْجِئي الذي كان أستاذاً لآية الله البروجردي أيضًا وكانت بعض اتجاهات ومواقف السيد البروجردي التجدُّدية متأثرة به.</w:t>
      </w:r>
      <w:r w:rsidRPr="006E28E9">
        <w:rPr>
          <w:rStyle w:val="Char"/>
          <w:rFonts w:ascii="Arabic11 BT" w:hAnsi="Arabic11 BT" w:cs="Arabic11 BT"/>
          <w:vertAlign w:val="superscript"/>
          <w:rtl/>
        </w:rPr>
        <w:footnoteReference w:id="328"/>
      </w:r>
      <w:r w:rsidRPr="0092648A">
        <w:rPr>
          <w:rStyle w:val="Char"/>
          <w:rFonts w:hint="cs"/>
          <w:rtl/>
        </w:rPr>
        <w:t xml:space="preserve"> كان دَرْجِئي يتجنَّب المغالاة بالأئمة </w:t>
      </w:r>
      <w:r w:rsidR="00924380">
        <w:rPr>
          <w:rStyle w:val="Char"/>
          <w:rFonts w:cs="CTraditional Arabic" w:hint="cs"/>
          <w:rtl/>
        </w:rPr>
        <w:t>†</w:t>
      </w:r>
      <w:r w:rsidRPr="0092648A">
        <w:rPr>
          <w:rStyle w:val="Char"/>
          <w:rFonts w:hint="cs"/>
          <w:rtl/>
        </w:rPr>
        <w:t xml:space="preserve"> وكان يقول للخطيب الذي يتكلم كثيرًا عن التوسل بالأئمة: دَعْ لِـلَّهِ شيئاً أيضًا!.</w:t>
      </w:r>
      <w:r w:rsidRPr="006E28E9">
        <w:rPr>
          <w:rStyle w:val="Char"/>
          <w:rFonts w:ascii="Arabic11 BT" w:hAnsi="Arabic11 BT" w:cs="Arabic11 BT"/>
          <w:vertAlign w:val="superscript"/>
          <w:rtl/>
        </w:rPr>
        <w:footnoteReference w:id="329"/>
      </w:r>
      <w:r w:rsidRPr="0092648A">
        <w:rPr>
          <w:rStyle w:val="Char"/>
          <w:rFonts w:hint="cs"/>
          <w:rtl/>
        </w:rPr>
        <w:t xml:space="preserve"> مثل هذه الأقوال كانت </w:t>
      </w:r>
      <w:r w:rsidRPr="0092648A">
        <w:rPr>
          <w:rStyle w:val="Char"/>
          <w:rFonts w:hint="cs"/>
          <w:rtl/>
        </w:rPr>
        <w:lastRenderedPageBreak/>
        <w:t>تؤدي أحيانًا إلى نشر إشاعات أخرى عنه أيضًا.</w:t>
      </w:r>
      <w:r w:rsidRPr="006E28E9">
        <w:rPr>
          <w:rStyle w:val="Char"/>
          <w:rFonts w:ascii="Arabic11 BT" w:hAnsi="Arabic11 BT" w:cs="Arabic11 BT"/>
          <w:vertAlign w:val="superscript"/>
          <w:rtl/>
        </w:rPr>
        <w:footnoteReference w:id="330"/>
      </w:r>
      <w:r w:rsidRPr="0092648A">
        <w:rPr>
          <w:rStyle w:val="Char"/>
          <w:rFonts w:hint="cs"/>
          <w:rtl/>
        </w:rPr>
        <w:t xml:space="preserve"> كان المرحوم حاج آغا رحيم أرباب أحد تلاميذ دَرْجِئي، و واصل طريقه من بعده. ويبدو أن علي الدشتي نسب بعد ذلك في كتابه «</w:t>
      </w:r>
      <w:r w:rsidRPr="0092648A">
        <w:rPr>
          <w:rStyle w:val="Char8"/>
          <w:rFonts w:hint="cs"/>
          <w:rtl/>
        </w:rPr>
        <w:t>تخت فولاد</w:t>
      </w:r>
      <w:r w:rsidRPr="0092648A">
        <w:rPr>
          <w:rStyle w:val="Char"/>
          <w:rFonts w:hint="cs"/>
          <w:rtl/>
        </w:rPr>
        <w:t>» أموراً عجيبة للمرحوم دَرْجِئي تمَّ تكذيبها ونفيها فيما بعد. يُبيّن هذا الكتاب النظام الفكري الرضا شاهي في باب الدين والإصلاحات الدينية التي دونها علي الدشتي بقلمه الأدبي ونُظِّمَ الكتاب على نحو يجعله يبدو وكأنه يمثل مباحثات دَرْجِئي مع عدد من تلاميذه. كانت موضوعات البحث فيه أمورًا من قبيل: التوسل والشفاعة وغيرها من المسائل التي تنسجم مع المسائل الفكرية - الدينية التي كانت تُطْرَح في عهد رضا خان البهلوي ومع أفكار شريعت سنگلجي ونظرائه مثل محمد جواد الغروي وغيره.</w:t>
      </w:r>
      <w:r w:rsidRPr="006E28E9">
        <w:rPr>
          <w:rStyle w:val="Char"/>
          <w:rFonts w:ascii="Arabic11 BT" w:hAnsi="Arabic11 BT" w:cs="Arabic11 BT"/>
          <w:vertAlign w:val="superscript"/>
          <w:rtl/>
        </w:rPr>
        <w:footnoteReference w:id="331"/>
      </w:r>
    </w:p>
    <w:p w:rsidR="00DA6CFB" w:rsidRPr="0092648A" w:rsidRDefault="00DA6CFB" w:rsidP="0092648A">
      <w:pPr>
        <w:widowControl w:val="0"/>
        <w:spacing w:line="216" w:lineRule="auto"/>
        <w:ind w:firstLine="284"/>
        <w:jc w:val="both"/>
        <w:rPr>
          <w:rStyle w:val="Char"/>
          <w:rtl/>
        </w:rPr>
      </w:pPr>
      <w:r w:rsidRPr="0092648A">
        <w:rPr>
          <w:rStyle w:val="Char"/>
          <w:rFonts w:hint="cs"/>
          <w:rtl/>
        </w:rPr>
        <w:t>وعلى كل حال، واجه السيد الغروي في أصفهان معارضة عدد من علماء دين تلك المدينة ووقعت بينه وبينهم اصطدامات عبر الزمن، مما أدى إلى كتابة عدد من الردود على عقائده في بعض المجالات.</w:t>
      </w:r>
      <w:r w:rsidRPr="006E28E9">
        <w:rPr>
          <w:rStyle w:val="Char"/>
          <w:rFonts w:ascii="Arabic11 BT" w:hAnsi="Arabic11 BT" w:cs="Arabic11 BT"/>
          <w:vertAlign w:val="superscript"/>
          <w:rtl/>
        </w:rPr>
        <w:footnoteReference w:id="332"/>
      </w:r>
      <w:r w:rsidRPr="0092648A">
        <w:rPr>
          <w:rStyle w:val="Char"/>
          <w:rFonts w:hint="cs"/>
          <w:rtl/>
        </w:rPr>
        <w:t xml:space="preserve"> كما قام العلامة الأميني بإلقاء عدد من الدروس المنبرية بطلب من علماء أصفهان للردّ على أفكار الغروي مما أدّى إلى تقليص نفوذ الغروي بين الناس في هذه المدينة.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آراء الغروي مطروحة في أصفهان خلال العقود الثلاثة التي سبقت الثورة، وكانت تتعرض إلى النقد؛ ولكن منذ الخمسينيات</w:t>
      </w:r>
      <w:r w:rsidRPr="006E28E9">
        <w:rPr>
          <w:rStyle w:val="Char"/>
          <w:rFonts w:ascii="Arabic11 BT" w:hAnsi="Arabic11 BT" w:cs="Arabic11 BT"/>
          <w:vertAlign w:val="superscript"/>
          <w:rtl/>
        </w:rPr>
        <w:footnoteReference w:id="333"/>
      </w:r>
      <w:r w:rsidRPr="0092648A">
        <w:rPr>
          <w:rStyle w:val="Char"/>
          <w:rFonts w:hint="cs"/>
          <w:rtl/>
        </w:rPr>
        <w:t xml:space="preserve"> فما بعد نشب نزاع شديد بين أنصار الغروي ومعارضيه في أصفهان. وانجرّ هذا النزاع على نحو من الأنحاء إلى المسائل المتعلقة بالثورة حتى قام عدد من أنصار الغروي الثوريين - واشتُهِروا باسم الهدفيين وكان يتزعمهم السيد مهدي هاشمي - بقتل آية الله شمس آبادي سنة 19/1/1355 هـ.ش [1976م] الذي كان رجل دين تقليدي يدافع عن آية الله </w:t>
      </w:r>
      <w:r w:rsidRPr="0092648A">
        <w:rPr>
          <w:rStyle w:val="Char"/>
          <w:rFonts w:hint="cs"/>
          <w:rtl/>
        </w:rPr>
        <w:lastRenderedPageBreak/>
        <w:t xml:space="preserve">الخوئي ويعارض الغروي ويعارض كتاب </w:t>
      </w:r>
      <w:r w:rsidRPr="0092648A">
        <w:rPr>
          <w:rStyle w:val="Char8"/>
          <w:rFonts w:hint="cs"/>
          <w:rtl/>
        </w:rPr>
        <w:t>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w:t>
      </w:r>
      <w:r w:rsidRPr="0092648A">
        <w:rPr>
          <w:rStyle w:val="Char"/>
          <w:rFonts w:hint="cs"/>
          <w:rtl/>
        </w:rPr>
        <w:t xml:space="preserve"> [الشهيد الخالد]</w:t>
      </w:r>
      <w:r w:rsidRPr="006E28E9">
        <w:rPr>
          <w:rStyle w:val="Char"/>
          <w:rFonts w:ascii="Arabic11 BT" w:hAnsi="Arabic11 BT" w:cs="Arabic11 BT"/>
          <w:vertAlign w:val="superscript"/>
          <w:rtl/>
        </w:rPr>
        <w:footnoteReference w:id="334"/>
      </w:r>
      <w:r w:rsidRPr="0092648A">
        <w:rPr>
          <w:rStyle w:val="Char"/>
          <w:rFonts w:hint="cs"/>
          <w:rtl/>
        </w:rPr>
        <w:t>. كان السيد شمس آبادي يذم بصراحة في خطبه المنبرية مؤلِّفَ كتاب الشهيد الخالد وكلَّ الذين قرَّظوا الكتاب. ولما كان هؤلاء الفريق من الناس يدَّعون الثورية، فإن بعض الثوريين سُرُّوا بقتل شمس آبادي، في ذلك الجو السياسي الذي كان حاكمًا في البلاد في ذلك الحين، وتصوروا أنهم أزاحوا بذلك عائقًا من طريقهم! ومن الجهة الأخرى، لم يتبنَّ أولئك الفريق من الشباب في ذلك الزمن المسؤولية عن عملية الاغتيال تلك بل رموا بها النظام، وفي الواقع أرادوا أن يضربوا عصفورين بحجر واحد بهذا العمل. وأما الناس الذين كانوا خارج هذا الأمر فتصوروا أن النظام قتل شمس آبادي ورمى بجريمته تلك أنصارَ الإمام الخميني. جاء في مجلة «</w:t>
      </w:r>
      <w:r w:rsidRPr="0092648A">
        <w:rPr>
          <w:rStyle w:val="Char8"/>
          <w:rFonts w:hint="cs"/>
          <w:rtl/>
        </w:rPr>
        <w:t>اسلام م</w:t>
      </w:r>
      <w:r w:rsidR="008C7124">
        <w:rPr>
          <w:rStyle w:val="Char8"/>
          <w:rFonts w:hint="cs"/>
          <w:rtl/>
        </w:rPr>
        <w:t>ک</w:t>
      </w:r>
      <w:r w:rsidRPr="0092648A">
        <w:rPr>
          <w:rStyle w:val="Char8"/>
          <w:rFonts w:hint="cs"/>
          <w:rtl/>
        </w:rPr>
        <w:t>تب مبارز</w:t>
      </w:r>
      <w:r w:rsidRPr="0092648A">
        <w:rPr>
          <w:rStyle w:val="Char"/>
          <w:rFonts w:hint="cs"/>
          <w:rtl/>
        </w:rPr>
        <w:t>» [الإسلام دين الكفاح] التي كان يصدرها تجمع اتحادات الطلاب المسلمين في أوروبا وأمريكا، في عددها الصادر في شهر خرداد عام 1355 هـ.ش تقريرٌ عنوانه «مقتل عالم دين» ومما كُتِبَ فيه: «إن القتل الغامض للمرحوم حجة الإسلام شمس آبادي الذي كان أحد علماء الدين المناضلين والملتزمين في مدينة أصفهان وكان قد نال محبوبية لدى الناس بفضل مساعيه في إيجاد مؤسسات خيريه وبفضل نشاطاته الشعبية، على أيدي مأجوري النظام، من جهة، والإيهام بأن أنصار آية الله الخميني وأنصار كتاب «</w:t>
      </w:r>
      <w:r w:rsidRPr="0092648A">
        <w:rPr>
          <w:rStyle w:val="Char8"/>
          <w:rFonts w:hint="cs"/>
          <w:rtl/>
        </w:rPr>
        <w:t>الشه</w:t>
      </w:r>
      <w:r w:rsidR="008C7124">
        <w:rPr>
          <w:rStyle w:val="Char8"/>
          <w:rFonts w:hint="cs"/>
          <w:rtl/>
        </w:rPr>
        <w:t>ی</w:t>
      </w:r>
      <w:r w:rsidRPr="0092648A">
        <w:rPr>
          <w:rStyle w:val="Char8"/>
          <w:rFonts w:hint="cs"/>
          <w:rtl/>
        </w:rPr>
        <w:t>د الخالد</w:t>
      </w:r>
      <w:r w:rsidRPr="0092648A">
        <w:rPr>
          <w:rStyle w:val="Char"/>
          <w:rFonts w:hint="cs"/>
          <w:rtl/>
        </w:rPr>
        <w:t>» هم الذين يقفون وراء قتله مع حشد كل إمكانيات الدعاية التي يملكها النظام لتثبيت هذه الخدعة، نموذجٌ آخرُ لسياسات النظام [القمعية] الجديدة».</w:t>
      </w:r>
      <w:r w:rsidRPr="006E28E9">
        <w:rPr>
          <w:rStyle w:val="Char"/>
          <w:rFonts w:ascii="Arabic11 BT" w:hAnsi="Arabic11 BT" w:cs="Arabic11 BT"/>
          <w:vertAlign w:val="superscript"/>
          <w:rtl/>
        </w:rPr>
        <w:footnoteReference w:id="335"/>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بهذا توفَّر جوٌّ جديد أعطى زخمًا من جديد لدفاع الثوريين عن مهدي هاشمي، على نحو جعل جماعة من الإيرانيين المناضلين خارج البلاد الذين كانوا قد اعتصموا في كنيسة في مدينة باريس في الأيام الأخيرة لنظام البهلوي، مطالبين بعودة آية الله الخميني إلى إيران، يطالبون في الوقت ذاته </w:t>
      </w:r>
      <w:r w:rsidRPr="0092648A">
        <w:rPr>
          <w:rStyle w:val="Char"/>
          <w:rFonts w:hint="cs"/>
          <w:rtl/>
        </w:rPr>
        <w:lastRenderedPageBreak/>
        <w:t>بإطلاق صراح السيد مهدي هاشمي ولطف الله ميثمي، وعزت الله سحابي من سجون الشاه.</w:t>
      </w:r>
      <w:r w:rsidRPr="006E28E9">
        <w:rPr>
          <w:rStyle w:val="Char"/>
          <w:rFonts w:ascii="Arabic11 BT" w:hAnsi="Arabic11 BT" w:cs="Arabic11 BT"/>
          <w:vertAlign w:val="superscript"/>
          <w:rtl/>
        </w:rPr>
        <w:footnoteReference w:id="336"/>
      </w:r>
      <w:r w:rsidRPr="0092648A">
        <w:rPr>
          <w:rStyle w:val="Char"/>
          <w:rFonts w:hint="cs"/>
          <w:rtl/>
        </w:rPr>
        <w:t xml:space="preserve"> وبالتزامن مع ذلك بذل محمد منتظري</w:t>
      </w:r>
      <w:r w:rsidRPr="006E28E9">
        <w:rPr>
          <w:rStyle w:val="Char"/>
          <w:rFonts w:ascii="Arabic11 BT" w:hAnsi="Arabic11 BT" w:cs="Arabic11 BT"/>
          <w:vertAlign w:val="superscript"/>
          <w:rtl/>
        </w:rPr>
        <w:footnoteReference w:id="337"/>
      </w:r>
      <w:r w:rsidRPr="0092648A">
        <w:rPr>
          <w:rStyle w:val="Char"/>
          <w:rFonts w:hint="cs"/>
          <w:rtl/>
        </w:rPr>
        <w:t xml:space="preserve"> جهوداً كبيرة برفقة مجموعة من رفاقه الثوريين في سورية ولبنان، لصالح السيد مهدي هاشمي وتحركوا تحركًا حثيثًا للتضامن والتنسيق مع حركة الاعتصام المذكورة تلك.</w:t>
      </w:r>
      <w:r w:rsidRPr="006E28E9">
        <w:rPr>
          <w:rStyle w:val="Char"/>
          <w:rFonts w:ascii="Arabic11 BT" w:hAnsi="Arabic11 BT" w:cs="Arabic11 BT"/>
          <w:vertAlign w:val="superscript"/>
          <w:rtl/>
        </w:rPr>
        <w:footnoteReference w:id="338"/>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الغروي في الأيام الأولى للثورة يعتمد على [آية الله] طالقاني و[الدكتور] شريعتي كخط حركي في الثورة. انعكس هذا الأمر في العدد الأول من سلسلة كتبه «</w:t>
      </w:r>
      <w:r w:rsidRPr="0092648A">
        <w:rPr>
          <w:rStyle w:val="Char8"/>
          <w:rFonts w:hint="cs"/>
          <w:rtl/>
        </w:rPr>
        <w:t>خطب وجمع</w:t>
      </w:r>
      <w:r w:rsidRPr="0092648A">
        <w:rPr>
          <w:rStyle w:val="Char"/>
          <w:rFonts w:hint="cs"/>
          <w:rtl/>
        </w:rPr>
        <w:t>» بشكل واضح، وكان ذلك في الوقت ذاته بالضبط الذي كان ينتقد فيه علماء الدين الرسميين. ويقول الغروي عن شريعتي: «إن كتبه، باستثناء موضوعين أو ثلاثة صغيرة لا تضر كثيرًا وليست مهمة..... أما باقي موضوعات كتبه فكلها عميقة وتحقيقية.</w:t>
      </w:r>
      <w:r w:rsidRPr="006E28E9">
        <w:rPr>
          <w:rStyle w:val="Char"/>
          <w:rFonts w:ascii="Arabic11 BT" w:hAnsi="Arabic11 BT" w:cs="Arabic11 BT"/>
          <w:vertAlign w:val="superscript"/>
          <w:rtl/>
        </w:rPr>
        <w:footnoteReference w:id="339"/>
      </w:r>
      <w:r w:rsidRPr="0092648A">
        <w:rPr>
          <w:rStyle w:val="Char"/>
          <w:rFonts w:hint="cs"/>
          <w:rtl/>
        </w:rPr>
        <w:t xml:space="preserve"> وقد دافع هنالك عن الرؤية التي تقول إنه لابد من الاعتماد على القرآن فقط، وكان يرى نفسه من هذه الزاوية متفقًا مع طالقاني. تحدث الغروي في خطبة أخرى بشكل خاص عن شريعتي وطريقه، واعتبره متخصّصًا في علم الاجتماع والتاريخ. واعتبر أن قمة أفكاره تتجلى في فكرة «زر وزور وتزوير» أي الذهب والقوة والخداع وكان يؤكد في هذا المجال على مشكلة الخداع التي كان يطبقها عادة على علماء الدين الرسميين. كما كان أيضًا يؤكد على نظرية التشيع العلوي والتشيع الصفوي، ويعتبر أن القضايا والمسائل الخرافية في التشيع برزت لدى الشيعة بعد عهد الصفويين.</w:t>
      </w:r>
      <w:r w:rsidRPr="006E28E9">
        <w:rPr>
          <w:rStyle w:val="Char"/>
          <w:rFonts w:ascii="Arabic11 BT" w:hAnsi="Arabic11 BT" w:cs="Arabic11 BT"/>
          <w:vertAlign w:val="superscript"/>
          <w:rtl/>
        </w:rPr>
        <w:footnoteReference w:id="340"/>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بعد انتصار الثورة الإسلامية كان الغروي متعاطفًا مع المجموعات الثورية المتطرفة مثل مجاهدي خلق وأنصار الدكتور شريعتي المتطرفين، وكان محل إقامته لصلاة الجمعة - إلى الحد الذي أتذكره بنفسي - محلاً لعرض كتب أمثال تلك المجموعات والمنظمات المتطرفة. اختار الغروي في آخر </w:t>
      </w:r>
      <w:r w:rsidRPr="0092648A">
        <w:rPr>
          <w:rStyle w:val="Char"/>
          <w:rFonts w:hint="cs"/>
          <w:rtl/>
        </w:rPr>
        <w:lastRenderedPageBreak/>
        <w:t>سنوات عمره الإقامة في طهران وقُبِض على ابنه الذي كان عضواً رسمياً في حزب «</w:t>
      </w:r>
      <w:r w:rsidRPr="0092648A">
        <w:rPr>
          <w:rStyle w:val="Char8"/>
          <w:rFonts w:hint="cs"/>
          <w:rtl/>
        </w:rPr>
        <w:t>نهضت آزاد</w:t>
      </w:r>
      <w:r w:rsidR="008C7124">
        <w:rPr>
          <w:rStyle w:val="Char8"/>
          <w:rFonts w:hint="cs"/>
          <w:rtl/>
        </w:rPr>
        <w:t>ی</w:t>
      </w:r>
      <w:r w:rsidRPr="0092648A">
        <w:rPr>
          <w:rStyle w:val="Char"/>
          <w:rFonts w:hint="cs"/>
          <w:rtl/>
        </w:rPr>
        <w:t>» [نهضة الحرية]، في قضية اعتقالات أتباع التيار الوطني- الديني سنة 1379 و 1380 هـ.ش [2000 - 2001م]. ونضيف إلى ذلك أنه لما أعلنت السلطات في شهر مهر من سنة 1389 هـ.ش [أيلول 2010م] عن اعتقال إبراهيم يزدي وهاشم صباغيان، قالت: إنه تمَّ القبض عليهما عندما كانا ينويان إقامة صلاة الجمعة في منزل علي أصغر الغروي! جاء في التقرير الخبري الذي كتبه فرزانه بذرپور حول هذه الحادثة في موقع هيئة الإذاعة البريطانية بي بي سي على شبكة الإنترنيت، أن علي أصغر الغروي (المولود سنة 1325هـ.ش/1946م) هو الشخص الذي كان يواصل طريق والده في إقامة صلاة الجمعة منذ خمسين عاماً.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السنوات الأخيرة نشر الغروي عدداً من الكتب الجديدة عرض فيها عقائده الخاصة به التي لا يوافقه عليها أحد أو التي يتفق فيها مع أهل السنة، وعلى أي حال هي عقائد تبناها انطلاقا من الأفكار التجديدية العصرية العلمية والتجريبية. وهذا لا يمنع بالطبع أن يكون لبعض آرائه موافقًا أو موافقين بين فقهاء الشيعة القدماء أو المعاصرين.</w:t>
      </w:r>
    </w:p>
    <w:p w:rsidR="00DA6CFB" w:rsidRPr="0092648A" w:rsidRDefault="00DA6CFB" w:rsidP="0092648A">
      <w:pPr>
        <w:widowControl w:val="0"/>
        <w:spacing w:line="216" w:lineRule="auto"/>
        <w:ind w:firstLine="284"/>
        <w:jc w:val="both"/>
        <w:rPr>
          <w:rStyle w:val="Char"/>
          <w:rtl/>
        </w:rPr>
      </w:pPr>
      <w:r w:rsidRPr="0092648A">
        <w:rPr>
          <w:rStyle w:val="Char"/>
          <w:rFonts w:hint="cs"/>
          <w:rtl/>
        </w:rPr>
        <w:t>تضمن كتابه «</w:t>
      </w:r>
      <w:r w:rsidRPr="0092648A">
        <w:rPr>
          <w:rStyle w:val="Char8"/>
          <w:rFonts w:hint="cs"/>
          <w:rtl/>
        </w:rPr>
        <w:t>چند گفتار</w:t>
      </w:r>
      <w:r w:rsidRPr="0092648A">
        <w:rPr>
          <w:rStyle w:val="Char"/>
          <w:rFonts w:hint="cs"/>
          <w:rtl/>
        </w:rPr>
        <w:t>» [بضع مقالات] عدداً من مقالاته التي تتحدث عن العترة، والمباهلة، غدير خم، والجبر والاختيار، والقضاء والقدر، والبداء، والخلود، والتقية.</w:t>
      </w:r>
      <w:r w:rsidRPr="006E28E9">
        <w:rPr>
          <w:rStyle w:val="Char"/>
          <w:rFonts w:ascii="Arabic11 BT" w:hAnsi="Arabic11 BT" w:cs="Arabic11 BT"/>
          <w:vertAlign w:val="superscript"/>
          <w:rtl/>
        </w:rPr>
        <w:footnoteReference w:id="341"/>
      </w:r>
      <w:r w:rsidRPr="0092648A">
        <w:rPr>
          <w:rStyle w:val="Char"/>
          <w:rFonts w:hint="cs"/>
          <w:rtl/>
        </w:rPr>
        <w:t xml:space="preserve"> كما ألف كتابه «</w:t>
      </w:r>
      <w:r w:rsidRPr="0092648A">
        <w:rPr>
          <w:rStyle w:val="Char8"/>
          <w:rFonts w:hint="cs"/>
          <w:rtl/>
        </w:rPr>
        <w:t>ذبح الأضاح</w:t>
      </w:r>
      <w:r w:rsidR="008C7124">
        <w:rPr>
          <w:rStyle w:val="Char8"/>
          <w:rFonts w:hint="cs"/>
          <w:rtl/>
        </w:rPr>
        <w:t>ی</w:t>
      </w:r>
      <w:r w:rsidRPr="0092648A">
        <w:rPr>
          <w:rStyle w:val="Char8"/>
          <w:rFonts w:hint="cs"/>
          <w:rtl/>
        </w:rPr>
        <w:t xml:space="preserve"> ف</w:t>
      </w:r>
      <w:r w:rsidR="008C7124">
        <w:rPr>
          <w:rStyle w:val="Char8"/>
          <w:rFonts w:hint="cs"/>
          <w:rtl/>
        </w:rPr>
        <w:t>ی</w:t>
      </w:r>
      <w:r w:rsidRPr="0092648A">
        <w:rPr>
          <w:rStyle w:val="Char8"/>
          <w:rFonts w:hint="cs"/>
          <w:rtl/>
        </w:rPr>
        <w:t xml:space="preserve"> منى</w:t>
      </w:r>
      <w:r w:rsidRPr="0092648A">
        <w:rPr>
          <w:rStyle w:val="Char"/>
          <w:rFonts w:hint="cs"/>
          <w:rtl/>
        </w:rPr>
        <w:t>» سنة 1362 هـ.ش [1983م] و أراد أن يثبت فيه أن ذبح الأضاحي في منى بالصورة التي تتم حالياً وتؤدي إلى إتلاف كميات كبيرة من اللحوم عمل غير جائز شرعًا. وكتب كتابًا من مجلدين عنوانه «</w:t>
      </w:r>
      <w:r w:rsidRPr="0092648A">
        <w:rPr>
          <w:rStyle w:val="Char8"/>
          <w:rFonts w:hint="cs"/>
          <w:rtl/>
        </w:rPr>
        <w:t>آدم من منظور القرآن</w:t>
      </w:r>
      <w:r w:rsidRPr="0092648A">
        <w:rPr>
          <w:rStyle w:val="Char"/>
          <w:rFonts w:hint="cs"/>
          <w:rtl/>
        </w:rPr>
        <w:t xml:space="preserve">» قام ابنه بتنقيحه سنة 1375 هـ.ش وطبعته دار قلم في طهران سنة 1376 هـ.ش [1997م]. </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لكن أكثر أقوال الغروي وآرائه غرابةً هو ما جاء في كتابه «</w:t>
      </w:r>
      <w:r w:rsidRPr="0092648A">
        <w:rPr>
          <w:rStyle w:val="Char8"/>
          <w:rFonts w:hint="cs"/>
          <w:rtl/>
        </w:rPr>
        <w:t>الفقه الاستدلال</w:t>
      </w:r>
      <w:r w:rsidR="008C7124">
        <w:rPr>
          <w:rStyle w:val="Char8"/>
          <w:rFonts w:hint="cs"/>
          <w:rtl/>
        </w:rPr>
        <w:t>ی</w:t>
      </w:r>
      <w:r w:rsidRPr="0092648A">
        <w:rPr>
          <w:rStyle w:val="Char"/>
          <w:rFonts w:hint="cs"/>
          <w:rtl/>
        </w:rPr>
        <w:t>»</w:t>
      </w:r>
      <w:r w:rsidRPr="006E28E9">
        <w:rPr>
          <w:rStyle w:val="Char"/>
          <w:rFonts w:ascii="Arabic11 BT" w:hAnsi="Arabic11 BT" w:cs="Arabic11 BT"/>
          <w:vertAlign w:val="superscript"/>
          <w:rtl/>
        </w:rPr>
        <w:footnoteReference w:id="342"/>
      </w:r>
      <w:r w:rsidRPr="0092648A">
        <w:rPr>
          <w:rStyle w:val="Char"/>
          <w:rFonts w:hint="cs"/>
          <w:rtl/>
        </w:rPr>
        <w:t xml:space="preserve"> الذي تضمن فتاوى عديدة له خالف فيها إجماع علماء الشيعة، والسبب الأساسي لذهابه إلى مثل هذه الفتاوى اتجاهه التجدُّدي المفرط ونزعته العقلية العصرية. رغم استفادته من الأحاديث في استنباطاته الفقهية، إلا أنه استند في استنباطاته تلك إلى تأويلات شخصية وقياسات فقهية غير صحيحة </w:t>
      </w:r>
      <w:r w:rsidRPr="0092648A">
        <w:rPr>
          <w:rStyle w:val="Char"/>
          <w:rFonts w:hint="cs"/>
          <w:rtl/>
        </w:rPr>
        <w:lastRenderedPageBreak/>
        <w:t>واستنتاجات عقلية. وقد طُبِع هذا الكتاب مؤخَّرًا تحت عنوان: «</w:t>
      </w:r>
      <w:r w:rsidRPr="0092648A">
        <w:rPr>
          <w:rStyle w:val="Char8"/>
          <w:rFonts w:hint="cs"/>
          <w:rtl/>
        </w:rPr>
        <w:t>شرح رساله</w:t>
      </w:r>
      <w:r w:rsidRPr="0092648A">
        <w:rPr>
          <w:rStyle w:val="Char"/>
          <w:rFonts w:hint="cs"/>
          <w:rtl/>
        </w:rPr>
        <w:t>» وأُدْرِجَت فيه حواشي المؤلف التي كان قد كتبها على الرسالة العملية لآية الله البروجردي. ومن خصائص هذا الكتاب مزجه الأبحاثَ الفقهية بالمباحث الكلامية. وله كتاب آخر في هذا المجال أيضًا هو: «</w:t>
      </w:r>
      <w:r w:rsidRPr="0092648A">
        <w:rPr>
          <w:rStyle w:val="Char8"/>
          <w:rFonts w:hint="cs"/>
          <w:rtl/>
        </w:rPr>
        <w:t>پ</w:t>
      </w:r>
      <w:r w:rsidR="008C7124">
        <w:rPr>
          <w:rStyle w:val="Char8"/>
          <w:rFonts w:hint="cs"/>
          <w:rtl/>
        </w:rPr>
        <w:t>ی</w:t>
      </w:r>
      <w:r w:rsidRPr="0092648A">
        <w:rPr>
          <w:rStyle w:val="Char8"/>
          <w:rFonts w:hint="cs"/>
          <w:rtl/>
        </w:rPr>
        <w:t>رامون ظن فق</w:t>
      </w:r>
      <w:r w:rsidR="008C7124">
        <w:rPr>
          <w:rStyle w:val="Char8"/>
          <w:rFonts w:hint="cs"/>
          <w:rtl/>
        </w:rPr>
        <w:t>ی</w:t>
      </w:r>
      <w:r w:rsidRPr="0092648A">
        <w:rPr>
          <w:rStyle w:val="Char8"/>
          <w:rFonts w:hint="cs"/>
          <w:rtl/>
        </w:rPr>
        <w:t xml:space="preserve">ه و </w:t>
      </w:r>
      <w:r w:rsidR="008C7124">
        <w:rPr>
          <w:rStyle w:val="Char8"/>
          <w:rFonts w:hint="cs"/>
          <w:rtl/>
        </w:rPr>
        <w:t>ک</w:t>
      </w:r>
      <w:r w:rsidRPr="0092648A">
        <w:rPr>
          <w:rStyle w:val="Char8"/>
          <w:rFonts w:hint="cs"/>
          <w:rtl/>
        </w:rPr>
        <w:t>اربرد آن در فقه</w:t>
      </w:r>
      <w:r w:rsidRPr="0092648A">
        <w:rPr>
          <w:rStyle w:val="Char"/>
          <w:rFonts w:hint="cs"/>
          <w:rtl/>
        </w:rPr>
        <w:t>» [حول ظن الفقيه واستخداماته في الفقه] (كتبه الغروي بالعربية وترجمه ابنه السيد علي اصغر الغروي إلى الفارسية، وطبع في طهران، 1378 هـ.ش/1999م).</w:t>
      </w:r>
    </w:p>
    <w:p w:rsidR="00DA6CFB" w:rsidRDefault="00DA6CFB" w:rsidP="0092648A">
      <w:pPr>
        <w:pStyle w:val="2"/>
        <w:rPr>
          <w:rtl/>
        </w:rPr>
      </w:pPr>
      <w:bookmarkStart w:id="35" w:name="_Toc444083822"/>
      <w:r>
        <w:rPr>
          <w:rFonts w:hint="cs"/>
          <w:rtl/>
        </w:rPr>
        <w:t>11. مصطفى الحسيني الطباطبائي</w:t>
      </w:r>
      <w:bookmarkEnd w:id="35"/>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من الكُتَّاب الآخرين الذين اتُّهِموا بحمل مثل هذه الأفكار: السيد مصطفى الحسيني الطباطبائي الذي ألَّف كتبًا عديدةً في موضوعات تاريخية وأدبية وعُرِف دائمًا بامتلاكه لمثل هذه الميول والاتّجاهات. لا يؤمن السيد الطباطبائي - شأنه في ذلك شأن كثير من الأفراد المنتمين لهذه النحلة التجديدية - بالإمامة بوصفها أصلاً إلـهيًّا، ويعتمد في هذا الموضوع - كما يقول - على ما جاء بصراحة في القرآن الكريم فقط. في صلاة الجمعة التي يقيمها [ويعتقد أيضًا بوجوبها العيني في كل زمان] يحضر بعض أهل السنة بالإضافة إلى بعض مريديه [ممن يشاطروه في الفكر والاتجاه من الشيعة].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فيا يلي عناوين بعض مؤلفاته:</w:t>
      </w:r>
    </w:p>
    <w:p w:rsidR="007C1704" w:rsidRDefault="00DA6CFB" w:rsidP="007C1704">
      <w:pPr>
        <w:pStyle w:val="ListParagraph"/>
        <w:widowControl w:val="0"/>
        <w:numPr>
          <w:ilvl w:val="0"/>
          <w:numId w:val="18"/>
        </w:numPr>
        <w:spacing w:line="216" w:lineRule="auto"/>
        <w:jc w:val="both"/>
        <w:rPr>
          <w:rStyle w:val="Char"/>
        </w:rPr>
      </w:pPr>
      <w:r w:rsidRPr="0092648A">
        <w:rPr>
          <w:rStyle w:val="Char8"/>
          <w:rFonts w:hint="cs"/>
          <w:rtl/>
        </w:rPr>
        <w:t>خ</w:t>
      </w:r>
      <w:r w:rsidR="008C7124">
        <w:rPr>
          <w:rStyle w:val="Char8"/>
          <w:rFonts w:hint="cs"/>
          <w:rtl/>
        </w:rPr>
        <w:t>ی</w:t>
      </w:r>
      <w:r w:rsidRPr="0092648A">
        <w:rPr>
          <w:rStyle w:val="Char8"/>
          <w:rFonts w:hint="cs"/>
          <w:rtl/>
        </w:rPr>
        <w:t>انت در گزارش تار</w:t>
      </w:r>
      <w:r w:rsidR="008C7124">
        <w:rPr>
          <w:rStyle w:val="Char8"/>
          <w:rFonts w:hint="cs"/>
          <w:rtl/>
        </w:rPr>
        <w:t>ی</w:t>
      </w:r>
      <w:r w:rsidRPr="0092648A">
        <w:rPr>
          <w:rStyle w:val="Char8"/>
          <w:rFonts w:hint="cs"/>
          <w:rtl/>
        </w:rPr>
        <w:t xml:space="preserve">خ، نقد </w:t>
      </w:r>
      <w:r w:rsidR="008C7124">
        <w:rPr>
          <w:rStyle w:val="Char8"/>
          <w:rFonts w:hint="cs"/>
          <w:rtl/>
        </w:rPr>
        <w:t>ک</w:t>
      </w:r>
      <w:r w:rsidRPr="0092648A">
        <w:rPr>
          <w:rStyle w:val="Char8"/>
          <w:rFonts w:hint="cs"/>
          <w:rtl/>
        </w:rPr>
        <w:t>تاب ب</w:t>
      </w:r>
      <w:r w:rsidR="008C7124">
        <w:rPr>
          <w:rStyle w:val="Char8"/>
          <w:rFonts w:hint="cs"/>
          <w:rtl/>
        </w:rPr>
        <w:t>ی</w:t>
      </w:r>
      <w:r w:rsidRPr="0092648A">
        <w:rPr>
          <w:rStyle w:val="Char8"/>
          <w:rFonts w:hint="cs"/>
          <w:rtl/>
        </w:rPr>
        <w:t>ست وسه سال عل</w:t>
      </w:r>
      <w:r w:rsidR="008C7124">
        <w:rPr>
          <w:rStyle w:val="Char8"/>
          <w:rFonts w:hint="cs"/>
          <w:rtl/>
        </w:rPr>
        <w:t>ی</w:t>
      </w:r>
      <w:r w:rsidRPr="0092648A">
        <w:rPr>
          <w:rStyle w:val="Char8"/>
          <w:rFonts w:hint="cs"/>
          <w:rtl/>
        </w:rPr>
        <w:t xml:space="preserve"> دشت</w:t>
      </w:r>
      <w:r w:rsidR="008C7124">
        <w:rPr>
          <w:rStyle w:val="Char8"/>
          <w:rFonts w:hint="cs"/>
          <w:rtl/>
        </w:rPr>
        <w:t>ی</w:t>
      </w:r>
      <w:r w:rsidRPr="0092648A">
        <w:rPr>
          <w:rStyle w:val="Char"/>
          <w:rFonts w:hint="cs"/>
          <w:rtl/>
        </w:rPr>
        <w:t xml:space="preserve"> [خيانة في رواية التاريخ، نقد كتاب ثلاثة وعشرون عامًا لعلي الدشتي]. ويقع في ثلاثة مجلدات. (طهران، چاپخش، 1368 هـ.ش).</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ش</w:t>
      </w:r>
      <w:r w:rsidR="008C7124">
        <w:rPr>
          <w:rStyle w:val="Char8"/>
          <w:rFonts w:hint="cs"/>
          <w:rtl/>
        </w:rPr>
        <w:t>ی</w:t>
      </w:r>
      <w:r w:rsidRPr="0092648A">
        <w:rPr>
          <w:rStyle w:val="Char8"/>
          <w:rFonts w:hint="cs"/>
          <w:rtl/>
        </w:rPr>
        <w:t>خ محمد عبده مصلح بزرگ مصر</w:t>
      </w:r>
      <w:r w:rsidRPr="0092648A">
        <w:rPr>
          <w:rStyle w:val="Char"/>
          <w:rFonts w:hint="cs"/>
          <w:rtl/>
        </w:rPr>
        <w:t>. [الشيخ محمد عبده مصلح مصر الكبير] (طهران، قلم، 1362 هـ.ش).</w:t>
      </w:r>
    </w:p>
    <w:p w:rsidR="007C1704" w:rsidRPr="007C1704" w:rsidRDefault="00DA6CFB" w:rsidP="007C1704">
      <w:pPr>
        <w:pStyle w:val="ListParagraph"/>
        <w:widowControl w:val="0"/>
        <w:numPr>
          <w:ilvl w:val="0"/>
          <w:numId w:val="18"/>
        </w:numPr>
        <w:spacing w:line="216" w:lineRule="auto"/>
        <w:ind w:left="680" w:hanging="340"/>
        <w:jc w:val="both"/>
        <w:rPr>
          <w:rStyle w:val="Char"/>
          <w:rFonts w:ascii="Calibri" w:hAnsi="Calibri" w:cs="IRNazli"/>
          <w:b/>
          <w:bCs/>
          <w:sz w:val="24"/>
          <w:szCs w:val="24"/>
          <w:lang w:bidi="ar-SY"/>
        </w:rPr>
      </w:pPr>
      <w:r w:rsidRPr="0092648A">
        <w:rPr>
          <w:rStyle w:val="Char8"/>
          <w:rFonts w:hint="cs"/>
          <w:rtl/>
        </w:rPr>
        <w:t>نقد خاورشناسان</w:t>
      </w:r>
      <w:r w:rsidRPr="0092648A">
        <w:rPr>
          <w:rStyle w:val="Char"/>
          <w:rFonts w:hint="cs"/>
          <w:rtl/>
        </w:rPr>
        <w:t>. [نقد المستشرقين] (طهران، چاپخش، 1376 هـ.ش).</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ماجرا</w:t>
      </w:r>
      <w:r w:rsidR="008C7124">
        <w:rPr>
          <w:rStyle w:val="Char8"/>
          <w:rFonts w:hint="cs"/>
          <w:rtl/>
        </w:rPr>
        <w:t>ی</w:t>
      </w:r>
      <w:r w:rsidRPr="0092648A">
        <w:rPr>
          <w:rStyle w:val="Char8"/>
          <w:rFonts w:hint="cs"/>
          <w:rtl/>
        </w:rPr>
        <w:t xml:space="preserve"> باب وبهاء</w:t>
      </w:r>
      <w:r w:rsidRPr="0092648A">
        <w:rPr>
          <w:rStyle w:val="Char"/>
          <w:rFonts w:hint="cs"/>
          <w:rtl/>
        </w:rPr>
        <w:t>. [قضية الباب والبهاء] (طهران، روزنه، 1379 هـ.ش).</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متف</w:t>
      </w:r>
      <w:r w:rsidR="008C7124">
        <w:rPr>
          <w:rStyle w:val="Char8"/>
          <w:rFonts w:hint="cs"/>
          <w:rtl/>
        </w:rPr>
        <w:t>ک</w:t>
      </w:r>
      <w:r w:rsidRPr="0092648A">
        <w:rPr>
          <w:rStyle w:val="Char8"/>
          <w:rFonts w:hint="cs"/>
          <w:rtl/>
        </w:rPr>
        <w:t>ر</w:t>
      </w:r>
      <w:r w:rsidR="008C7124">
        <w:rPr>
          <w:rStyle w:val="Char8"/>
          <w:rFonts w:hint="cs"/>
          <w:rtl/>
        </w:rPr>
        <w:t>ی</w:t>
      </w:r>
      <w:r w:rsidRPr="0092648A">
        <w:rPr>
          <w:rStyle w:val="Char8"/>
          <w:rFonts w:hint="cs"/>
          <w:rtl/>
        </w:rPr>
        <w:t>ن اسلام</w:t>
      </w:r>
      <w:r w:rsidR="008C7124">
        <w:rPr>
          <w:rStyle w:val="Char8"/>
          <w:rFonts w:hint="cs"/>
          <w:rtl/>
        </w:rPr>
        <w:t>ی</w:t>
      </w:r>
      <w:r w:rsidRPr="0092648A">
        <w:rPr>
          <w:rStyle w:val="Char8"/>
          <w:rFonts w:hint="cs"/>
          <w:rtl/>
        </w:rPr>
        <w:t xml:space="preserve"> در برابر منطق </w:t>
      </w:r>
      <w:r w:rsidR="008C7124">
        <w:rPr>
          <w:rStyle w:val="Char8"/>
          <w:rFonts w:hint="cs"/>
          <w:rtl/>
        </w:rPr>
        <w:t>ی</w:t>
      </w:r>
      <w:r w:rsidRPr="0092648A">
        <w:rPr>
          <w:rStyle w:val="Char8"/>
          <w:rFonts w:hint="cs"/>
          <w:rtl/>
        </w:rPr>
        <w:t>ونان</w:t>
      </w:r>
      <w:r w:rsidR="008C7124">
        <w:rPr>
          <w:rStyle w:val="Char8"/>
          <w:rFonts w:hint="cs"/>
          <w:rtl/>
        </w:rPr>
        <w:t>ی</w:t>
      </w:r>
      <w:r w:rsidRPr="0092648A">
        <w:rPr>
          <w:rStyle w:val="Char"/>
          <w:rFonts w:hint="cs"/>
          <w:rtl/>
        </w:rPr>
        <w:t>. [المفكرين المسلمين في مواجهة المنطق اليوناني] (طهران، قلم).</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حقارت سلمان رشد</w:t>
      </w:r>
      <w:r w:rsidR="008C7124">
        <w:rPr>
          <w:rStyle w:val="Char8"/>
          <w:rFonts w:hint="cs"/>
          <w:rtl/>
        </w:rPr>
        <w:t>ی</w:t>
      </w:r>
      <w:r w:rsidRPr="0092648A">
        <w:rPr>
          <w:rStyle w:val="Char"/>
          <w:rFonts w:hint="cs"/>
          <w:rtl/>
        </w:rPr>
        <w:t xml:space="preserve"> [حقارة سلمان رشدي] (طهران، سهامي انتشار، 1368 هـ.ش).</w:t>
      </w:r>
    </w:p>
    <w:p w:rsidR="00DA6CFB" w:rsidRPr="0092648A" w:rsidRDefault="00DA6CFB" w:rsidP="007C1704">
      <w:pPr>
        <w:pStyle w:val="ListParagraph"/>
        <w:widowControl w:val="0"/>
        <w:numPr>
          <w:ilvl w:val="0"/>
          <w:numId w:val="18"/>
        </w:numPr>
        <w:spacing w:line="216" w:lineRule="auto"/>
        <w:ind w:left="680" w:hanging="340"/>
        <w:jc w:val="both"/>
        <w:rPr>
          <w:rStyle w:val="Char"/>
          <w:rtl/>
        </w:rPr>
      </w:pPr>
      <w:r w:rsidRPr="0092648A">
        <w:rPr>
          <w:rStyle w:val="Char8"/>
          <w:rFonts w:hint="cs"/>
          <w:rtl/>
        </w:rPr>
        <w:t>رساله‌ا</w:t>
      </w:r>
      <w:r w:rsidR="008C7124">
        <w:rPr>
          <w:rStyle w:val="Char8"/>
          <w:rFonts w:hint="cs"/>
          <w:rtl/>
        </w:rPr>
        <w:t>ی</w:t>
      </w:r>
      <w:r w:rsidRPr="0092648A">
        <w:rPr>
          <w:rStyle w:val="Char8"/>
          <w:rFonts w:hint="cs"/>
          <w:rtl/>
        </w:rPr>
        <w:t xml:space="preserve"> در باره بردگ</w:t>
      </w:r>
      <w:r w:rsidR="008C7124">
        <w:rPr>
          <w:rStyle w:val="Char8"/>
          <w:rFonts w:hint="cs"/>
          <w:rtl/>
        </w:rPr>
        <w:t>ی</w:t>
      </w:r>
      <w:r w:rsidRPr="0092648A">
        <w:rPr>
          <w:rStyle w:val="Char"/>
          <w:rFonts w:hint="cs"/>
          <w:rtl/>
        </w:rPr>
        <w:t xml:space="preserve"> [رسالة حول العبودية] (طهران، بنياد دائرة المعارف اسلامي، </w:t>
      </w:r>
      <w:r w:rsidRPr="0092648A">
        <w:rPr>
          <w:rStyle w:val="Char"/>
          <w:rFonts w:hint="cs"/>
          <w:rtl/>
        </w:rPr>
        <w:lastRenderedPageBreak/>
        <w:t>1372 هـ.ش).</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الطباطبائي يقيم صلاة الجمعة - مثل الدكتور صادق تقوي- في طهران، وما يزال يقيمها في طهران حتى اليوم. ونجد ضمن فهرس مؤلفاته عناوين كتب أخرى له منها:</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راه</w:t>
      </w:r>
      <w:r w:rsidR="008C7124">
        <w:rPr>
          <w:rStyle w:val="Char8"/>
          <w:rFonts w:hint="cs"/>
          <w:rtl/>
        </w:rPr>
        <w:t>ی</w:t>
      </w:r>
      <w:r w:rsidRPr="0092648A">
        <w:rPr>
          <w:rStyle w:val="Char8"/>
          <w:rFonts w:hint="cs"/>
          <w:rtl/>
        </w:rPr>
        <w:t xml:space="preserve"> به سو</w:t>
      </w:r>
      <w:r w:rsidR="008C7124">
        <w:rPr>
          <w:rStyle w:val="Char8"/>
          <w:rFonts w:hint="cs"/>
          <w:rtl/>
        </w:rPr>
        <w:t>ی</w:t>
      </w:r>
      <w:r w:rsidRPr="0092648A">
        <w:rPr>
          <w:rStyle w:val="Char8"/>
          <w:rFonts w:hint="cs"/>
          <w:rtl/>
        </w:rPr>
        <w:t xml:space="preserve"> وحدت اسلام</w:t>
      </w:r>
      <w:r w:rsidR="008C7124">
        <w:rPr>
          <w:rStyle w:val="Char8"/>
          <w:rFonts w:hint="cs"/>
          <w:rtl/>
        </w:rPr>
        <w:t>ی</w:t>
      </w:r>
      <w:r w:rsidRPr="0092648A">
        <w:rPr>
          <w:rStyle w:val="Char"/>
          <w:rFonts w:hint="cs"/>
          <w:rtl/>
        </w:rPr>
        <w:t xml:space="preserve"> [طريق نحو الوحدة الإسلامية] (چاپ 1400 هـ.ق).</w:t>
      </w:r>
    </w:p>
    <w:p w:rsidR="007C1704" w:rsidRDefault="00DA6CFB" w:rsidP="007C1704">
      <w:pPr>
        <w:pStyle w:val="ListParagraph"/>
        <w:widowControl w:val="0"/>
        <w:numPr>
          <w:ilvl w:val="0"/>
          <w:numId w:val="18"/>
        </w:numPr>
        <w:spacing w:line="216" w:lineRule="auto"/>
        <w:ind w:left="680" w:hanging="340"/>
        <w:jc w:val="both"/>
        <w:rPr>
          <w:rStyle w:val="Char"/>
        </w:rPr>
      </w:pPr>
      <w:r w:rsidRPr="0092648A">
        <w:rPr>
          <w:rStyle w:val="Char8"/>
          <w:rFonts w:hint="cs"/>
          <w:rtl/>
        </w:rPr>
        <w:t>نقد آراء ابن س</w:t>
      </w:r>
      <w:r w:rsidR="008C7124">
        <w:rPr>
          <w:rStyle w:val="Char8"/>
          <w:rFonts w:hint="cs"/>
          <w:rtl/>
        </w:rPr>
        <w:t>ی</w:t>
      </w:r>
      <w:r w:rsidRPr="0092648A">
        <w:rPr>
          <w:rStyle w:val="Char8"/>
          <w:rFonts w:hint="cs"/>
          <w:rtl/>
        </w:rPr>
        <w:t>نا در إله</w:t>
      </w:r>
      <w:r w:rsidR="008C7124">
        <w:rPr>
          <w:rStyle w:val="Char8"/>
          <w:rFonts w:hint="cs"/>
          <w:rtl/>
        </w:rPr>
        <w:t>ی</w:t>
      </w:r>
      <w:r w:rsidRPr="0092648A">
        <w:rPr>
          <w:rStyle w:val="Char8"/>
          <w:rFonts w:hint="cs"/>
          <w:rtl/>
        </w:rPr>
        <w:t>ات</w:t>
      </w:r>
      <w:r w:rsidRPr="0092648A">
        <w:rPr>
          <w:rStyle w:val="Char"/>
          <w:rFonts w:hint="cs"/>
          <w:rtl/>
        </w:rPr>
        <w:t xml:space="preserve"> [نقد آراء ابن سينا في الإلهيات] (طهران، 1361 هـ.ش).</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دفاع از تعدد زوجات اسلام</w:t>
      </w:r>
      <w:r w:rsidR="008C7124">
        <w:rPr>
          <w:rStyle w:val="Char8"/>
          <w:rFonts w:hint="cs"/>
          <w:rtl/>
        </w:rPr>
        <w:t>ی</w:t>
      </w:r>
      <w:r w:rsidRPr="0092648A">
        <w:rPr>
          <w:rStyle w:val="Char"/>
          <w:rFonts w:hint="cs"/>
          <w:rtl/>
        </w:rPr>
        <w:t>. [دفاع عن تعدد الزوجات في الإسلام]</w:t>
      </w:r>
    </w:p>
    <w:p w:rsidR="007C1704" w:rsidRPr="007C1704" w:rsidRDefault="00DA6CFB" w:rsidP="007C1704">
      <w:pPr>
        <w:pStyle w:val="ListParagraph"/>
        <w:widowControl w:val="0"/>
        <w:numPr>
          <w:ilvl w:val="0"/>
          <w:numId w:val="18"/>
        </w:numPr>
        <w:spacing w:line="216" w:lineRule="auto"/>
        <w:ind w:left="794" w:hanging="454"/>
        <w:jc w:val="both"/>
        <w:rPr>
          <w:rStyle w:val="Char8"/>
          <w:rFonts w:ascii="mylotus" w:hAnsi="mylotus" w:cs="mylotus"/>
          <w:b w:val="0"/>
          <w:bCs w:val="0"/>
          <w:sz w:val="28"/>
          <w:szCs w:val="27"/>
          <w:lang w:bidi="ar-SA"/>
        </w:rPr>
      </w:pPr>
      <w:r w:rsidRPr="0092648A">
        <w:rPr>
          <w:rStyle w:val="Char8"/>
          <w:rFonts w:hint="cs"/>
          <w:rtl/>
        </w:rPr>
        <w:t xml:space="preserve">نقد </w:t>
      </w:r>
      <w:r w:rsidR="008C7124">
        <w:rPr>
          <w:rStyle w:val="Char8"/>
          <w:rFonts w:hint="cs"/>
          <w:rtl/>
        </w:rPr>
        <w:t>ک</w:t>
      </w:r>
      <w:r w:rsidRPr="0092648A">
        <w:rPr>
          <w:rStyle w:val="Char8"/>
          <w:rFonts w:hint="cs"/>
          <w:rtl/>
        </w:rPr>
        <w:t>تب حد</w:t>
      </w:r>
      <w:r w:rsidR="008C7124">
        <w:rPr>
          <w:rStyle w:val="Char8"/>
          <w:rFonts w:hint="cs"/>
          <w:rtl/>
        </w:rPr>
        <w:t>ی</w:t>
      </w:r>
      <w:r w:rsidRPr="0092648A">
        <w:rPr>
          <w:rStyle w:val="Char8"/>
          <w:rFonts w:hint="cs"/>
          <w:rtl/>
        </w:rPr>
        <w:t>ث.</w:t>
      </w:r>
      <w:r w:rsidRPr="0092648A">
        <w:rPr>
          <w:rStyle w:val="Char"/>
          <w:rFonts w:hint="cs"/>
          <w:rtl/>
        </w:rPr>
        <w:t xml:space="preserve"> </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نماز جمعه نماز انقلاب</w:t>
      </w:r>
      <w:r w:rsidR="008C7124">
        <w:rPr>
          <w:rStyle w:val="Char8"/>
          <w:rFonts w:hint="cs"/>
          <w:rtl/>
        </w:rPr>
        <w:t>ی</w:t>
      </w:r>
      <w:r w:rsidRPr="0092648A">
        <w:rPr>
          <w:rStyle w:val="Char8"/>
          <w:rFonts w:hint="cs"/>
          <w:rtl/>
        </w:rPr>
        <w:t xml:space="preserve"> و فراموش شده</w:t>
      </w:r>
      <w:r w:rsidRPr="0092648A">
        <w:rPr>
          <w:rStyle w:val="Char"/>
          <w:rFonts w:hint="cs"/>
          <w:rtl/>
        </w:rPr>
        <w:t>. [صلاة الجمعة الصلاة الثورية  والمنسية].</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پ</w:t>
      </w:r>
      <w:r w:rsidR="008C7124">
        <w:rPr>
          <w:rStyle w:val="Char8"/>
          <w:rFonts w:hint="cs"/>
          <w:rtl/>
        </w:rPr>
        <w:t>ی</w:t>
      </w:r>
      <w:r w:rsidRPr="0092648A">
        <w:rPr>
          <w:rStyle w:val="Char8"/>
          <w:rFonts w:hint="cs"/>
          <w:rtl/>
        </w:rPr>
        <w:t>وند د</w:t>
      </w:r>
      <w:r w:rsidR="008C7124">
        <w:rPr>
          <w:rStyle w:val="Char8"/>
          <w:rFonts w:hint="cs"/>
          <w:rtl/>
        </w:rPr>
        <w:t>ی</w:t>
      </w:r>
      <w:r w:rsidRPr="0092648A">
        <w:rPr>
          <w:rStyle w:val="Char8"/>
          <w:rFonts w:hint="cs"/>
          <w:rtl/>
        </w:rPr>
        <w:t>ن و ح</w:t>
      </w:r>
      <w:r w:rsidR="008C7124">
        <w:rPr>
          <w:rStyle w:val="Char8"/>
          <w:rFonts w:hint="cs"/>
          <w:rtl/>
        </w:rPr>
        <w:t>ک</w:t>
      </w:r>
      <w:r w:rsidRPr="0092648A">
        <w:rPr>
          <w:rStyle w:val="Char8"/>
          <w:rFonts w:hint="cs"/>
          <w:rtl/>
        </w:rPr>
        <w:t>ومت</w:t>
      </w:r>
      <w:r w:rsidRPr="0092648A">
        <w:rPr>
          <w:rStyle w:val="Char"/>
          <w:rFonts w:hint="cs"/>
          <w:rtl/>
        </w:rPr>
        <w:t>. [ارتباط الدين بالحكومة] (طهران، 1379 هـ.ش).</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قرآن بدون حد</w:t>
      </w:r>
      <w:r w:rsidR="008C7124">
        <w:rPr>
          <w:rStyle w:val="Char8"/>
          <w:rFonts w:hint="cs"/>
          <w:rtl/>
        </w:rPr>
        <w:t>ی</w:t>
      </w:r>
      <w:r w:rsidRPr="0092648A">
        <w:rPr>
          <w:rStyle w:val="Char8"/>
          <w:rFonts w:hint="cs"/>
          <w:rtl/>
        </w:rPr>
        <w:t>ث هم قابل فهم است</w:t>
      </w:r>
      <w:r w:rsidRPr="0092648A">
        <w:rPr>
          <w:rStyle w:val="Char"/>
          <w:rFonts w:hint="cs"/>
          <w:rtl/>
        </w:rPr>
        <w:t>. [القرآن قابل للفهم من دون الحديث] (مهر، 1382 هـ.ش).</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د</w:t>
      </w:r>
      <w:r w:rsidR="008C7124">
        <w:rPr>
          <w:rStyle w:val="Char8"/>
          <w:rFonts w:hint="cs"/>
          <w:rtl/>
        </w:rPr>
        <w:t>ی</w:t>
      </w:r>
      <w:r w:rsidRPr="0092648A">
        <w:rPr>
          <w:rStyle w:val="Char8"/>
          <w:rFonts w:hint="cs"/>
          <w:rtl/>
        </w:rPr>
        <w:t>ن ست</w:t>
      </w:r>
      <w:r w:rsidR="008C7124">
        <w:rPr>
          <w:rStyle w:val="Char8"/>
          <w:rFonts w:hint="cs"/>
          <w:rtl/>
        </w:rPr>
        <w:t>ی</w:t>
      </w:r>
      <w:r w:rsidRPr="0092648A">
        <w:rPr>
          <w:rStyle w:val="Char8"/>
          <w:rFonts w:hint="cs"/>
          <w:rtl/>
        </w:rPr>
        <w:t>ز</w:t>
      </w:r>
      <w:r w:rsidR="008C7124">
        <w:rPr>
          <w:rStyle w:val="Char8"/>
          <w:rFonts w:hint="cs"/>
          <w:rtl/>
        </w:rPr>
        <w:t>ی</w:t>
      </w:r>
      <w:r w:rsidRPr="0092648A">
        <w:rPr>
          <w:rStyle w:val="Char8"/>
          <w:rFonts w:hint="cs"/>
          <w:rtl/>
        </w:rPr>
        <w:t xml:space="preserve"> نافرجام</w:t>
      </w:r>
      <w:r w:rsidRPr="0092648A">
        <w:rPr>
          <w:rStyle w:val="Char"/>
          <w:rFonts w:hint="cs"/>
          <w:rtl/>
        </w:rPr>
        <w:t>. [محاربة فاشلة للدين] (نقد كتاب تولدي ديگر).</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دعوت مس</w:t>
      </w:r>
      <w:r w:rsidR="008C7124">
        <w:rPr>
          <w:rStyle w:val="Char8"/>
          <w:rFonts w:hint="cs"/>
          <w:rtl/>
        </w:rPr>
        <w:t>ی</w:t>
      </w:r>
      <w:r w:rsidRPr="0092648A">
        <w:rPr>
          <w:rStyle w:val="Char8"/>
          <w:rFonts w:hint="cs"/>
          <w:rtl/>
        </w:rPr>
        <w:t>ح</w:t>
      </w:r>
      <w:r w:rsidR="008C7124">
        <w:rPr>
          <w:rStyle w:val="Char8"/>
          <w:rFonts w:hint="cs"/>
          <w:rtl/>
        </w:rPr>
        <w:t>ی</w:t>
      </w:r>
      <w:r w:rsidRPr="0092648A">
        <w:rPr>
          <w:rStyle w:val="Char8"/>
          <w:rFonts w:hint="cs"/>
          <w:rtl/>
        </w:rPr>
        <w:t>ان به توح</w:t>
      </w:r>
      <w:r w:rsidR="008C7124">
        <w:rPr>
          <w:rStyle w:val="Char8"/>
          <w:rFonts w:hint="cs"/>
          <w:rtl/>
        </w:rPr>
        <w:t>ی</w:t>
      </w:r>
      <w:r w:rsidRPr="0092648A">
        <w:rPr>
          <w:rStyle w:val="Char8"/>
          <w:rFonts w:hint="cs"/>
          <w:rtl/>
        </w:rPr>
        <w:t>د</w:t>
      </w:r>
      <w:r w:rsidRPr="0092648A">
        <w:rPr>
          <w:rStyle w:val="Char"/>
          <w:rFonts w:hint="cs"/>
          <w:rtl/>
        </w:rPr>
        <w:t>. [دعوة المسحيين إلى التوحيد].</w:t>
      </w:r>
    </w:p>
    <w:p w:rsidR="007C1704" w:rsidRDefault="00DA6CFB" w:rsidP="007C1704">
      <w:pPr>
        <w:pStyle w:val="ListParagraph"/>
        <w:widowControl w:val="0"/>
        <w:numPr>
          <w:ilvl w:val="0"/>
          <w:numId w:val="18"/>
        </w:numPr>
        <w:spacing w:line="216" w:lineRule="auto"/>
        <w:ind w:left="794" w:hanging="454"/>
        <w:jc w:val="both"/>
        <w:rPr>
          <w:rStyle w:val="Char"/>
        </w:rPr>
      </w:pPr>
      <w:r w:rsidRPr="0092648A">
        <w:rPr>
          <w:rStyle w:val="Char8"/>
          <w:rFonts w:hint="cs"/>
          <w:rtl/>
        </w:rPr>
        <w:t>پرتو</w:t>
      </w:r>
      <w:r w:rsidR="008C7124">
        <w:rPr>
          <w:rStyle w:val="Char8"/>
          <w:rFonts w:hint="cs"/>
          <w:rtl/>
        </w:rPr>
        <w:t>ی</w:t>
      </w:r>
      <w:r w:rsidRPr="0092648A">
        <w:rPr>
          <w:rStyle w:val="Char8"/>
          <w:rFonts w:hint="cs"/>
          <w:rtl/>
        </w:rPr>
        <w:t xml:space="preserve"> از دولت فرخنده علو</w:t>
      </w:r>
      <w:r w:rsidR="008C7124">
        <w:rPr>
          <w:rStyle w:val="Char8"/>
          <w:rFonts w:hint="cs"/>
          <w:rtl/>
        </w:rPr>
        <w:t>ی</w:t>
      </w:r>
      <w:r w:rsidRPr="0092648A">
        <w:rPr>
          <w:rStyle w:val="Char"/>
          <w:rFonts w:hint="cs"/>
          <w:rtl/>
        </w:rPr>
        <w:t>. [قبس من الدولة العلوية المباركة].</w:t>
      </w:r>
    </w:p>
    <w:p w:rsidR="00DA6CFB" w:rsidRPr="0092648A" w:rsidRDefault="00DA6CFB" w:rsidP="007C1704">
      <w:pPr>
        <w:pStyle w:val="ListParagraph"/>
        <w:widowControl w:val="0"/>
        <w:numPr>
          <w:ilvl w:val="0"/>
          <w:numId w:val="18"/>
        </w:numPr>
        <w:spacing w:line="216" w:lineRule="auto"/>
        <w:ind w:left="794" w:hanging="454"/>
        <w:jc w:val="both"/>
        <w:rPr>
          <w:rStyle w:val="Char"/>
          <w:rtl/>
        </w:rPr>
      </w:pPr>
      <w:r w:rsidRPr="0092648A">
        <w:rPr>
          <w:rStyle w:val="Char8"/>
          <w:rFonts w:hint="cs"/>
          <w:rtl/>
        </w:rPr>
        <w:t>فتح المنان ف</w:t>
      </w:r>
      <w:r w:rsidR="008C7124">
        <w:rPr>
          <w:rStyle w:val="Char8"/>
          <w:rFonts w:hint="cs"/>
          <w:rtl/>
        </w:rPr>
        <w:t>ی</w:t>
      </w:r>
      <w:r w:rsidRPr="0092648A">
        <w:rPr>
          <w:rStyle w:val="Char8"/>
          <w:rFonts w:hint="cs"/>
          <w:rtl/>
        </w:rPr>
        <w:t>ما رو</w:t>
      </w:r>
      <w:r w:rsidR="008C7124">
        <w:rPr>
          <w:rStyle w:val="Char8"/>
          <w:rFonts w:hint="cs"/>
          <w:rtl/>
        </w:rPr>
        <w:t>ی</w:t>
      </w:r>
      <w:r w:rsidRPr="0092648A">
        <w:rPr>
          <w:rStyle w:val="Char8"/>
          <w:rFonts w:hint="cs"/>
          <w:rtl/>
        </w:rPr>
        <w:t xml:space="preserve"> عن عل</w:t>
      </w:r>
      <w:r w:rsidR="008C7124">
        <w:rPr>
          <w:rStyle w:val="Char8"/>
          <w:rFonts w:hint="cs"/>
          <w:rtl/>
        </w:rPr>
        <w:t>ی</w:t>
      </w:r>
      <w:r w:rsidRPr="0092648A">
        <w:rPr>
          <w:rStyle w:val="Char8"/>
          <w:rFonts w:hint="cs"/>
          <w:rtl/>
        </w:rPr>
        <w:t xml:space="preserve"> من تفس</w:t>
      </w:r>
      <w:r w:rsidR="008C7124">
        <w:rPr>
          <w:rStyle w:val="Char8"/>
          <w:rFonts w:hint="cs"/>
          <w:rtl/>
        </w:rPr>
        <w:t>ی</w:t>
      </w:r>
      <w:r w:rsidRPr="0092648A">
        <w:rPr>
          <w:rStyle w:val="Char8"/>
          <w:rFonts w:hint="cs"/>
          <w:rtl/>
        </w:rPr>
        <w:t>ر القرآن</w:t>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وغير ذلك من الكتب. </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بين مجموع أفراد هذه القافلة [قافلة المطالبين بالإصلاح والتصحيح لعقائد الشيعة] التي لها سابقة تاريخية تمتد إلى ثمانين عامًا ماضية، يمكن اعتبار السيد الطباطبائي أكثرهم اعتدالاً وامتلاكًا لأفكار معقولة، هذا رغم التأكيد على ابتعاده عن بعض أهم التعاليم الشيعية الأساسية مثل موضوع الإمامة الذي يشكل الفارق الجوهري والحد الفاصل بين الشيعة والسنة. في إحدى الحوارات الأخيرة مع عبد الرحيم [ملازهي] البلوشي، ذكر أن أحمد كسروي والبرقعي وعلي مظفريان وشريعت سنگلجي ومصطفى الحسيني الطباطبائي وقلمداران كانوا شيعة وصاروا من أهل السنة.</w:t>
      </w:r>
      <w:r w:rsidRPr="006E28E9">
        <w:rPr>
          <w:rStyle w:val="Char"/>
          <w:rFonts w:ascii="Arabic11 BT" w:hAnsi="Arabic11 BT" w:cs="Arabic11 BT"/>
          <w:vertAlign w:val="superscript"/>
          <w:rtl/>
        </w:rPr>
        <w:footnoteReference w:id="343"/>
      </w:r>
    </w:p>
    <w:p w:rsidR="00DA6CFB" w:rsidRPr="0092648A" w:rsidRDefault="00DA6CFB" w:rsidP="0092648A">
      <w:pPr>
        <w:widowControl w:val="0"/>
        <w:spacing w:line="216" w:lineRule="auto"/>
        <w:ind w:firstLine="284"/>
        <w:jc w:val="both"/>
        <w:rPr>
          <w:rStyle w:val="Char"/>
          <w:rtl/>
        </w:rPr>
      </w:pPr>
    </w:p>
    <w:p w:rsidR="00DA6CFB" w:rsidRDefault="00DA6CFB" w:rsidP="0092648A">
      <w:pPr>
        <w:pStyle w:val="2"/>
        <w:rPr>
          <w:rtl/>
        </w:rPr>
      </w:pPr>
      <w:bookmarkStart w:id="36" w:name="_Toc444083823"/>
      <w:r>
        <w:rPr>
          <w:rFonts w:hint="cs"/>
          <w:rtl/>
        </w:rPr>
        <w:lastRenderedPageBreak/>
        <w:t>12. محمد صادق طهراني</w:t>
      </w:r>
      <w:bookmarkEnd w:id="36"/>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  </w:t>
      </w:r>
      <w:r w:rsidRPr="0092648A">
        <w:rPr>
          <w:rStyle w:val="Char"/>
          <w:rtl/>
        </w:rPr>
        <w:t>السيد الدكتور محمد صادقي الطهراني أحد الوجوه الحوزوية</w:t>
      </w:r>
      <w:r w:rsidRPr="006E28E9">
        <w:rPr>
          <w:rStyle w:val="Char"/>
          <w:rFonts w:ascii="Arabic11 BT" w:hAnsi="Arabic11 BT" w:cs="Arabic11 BT"/>
          <w:vertAlign w:val="superscript"/>
          <w:rtl/>
        </w:rPr>
        <w:footnoteReference w:id="344"/>
      </w:r>
      <w:r w:rsidRPr="0092648A">
        <w:rPr>
          <w:rStyle w:val="Char"/>
          <w:rtl/>
        </w:rPr>
        <w:t xml:space="preserve"> الأخرى التي طرحت </w:t>
      </w:r>
      <w:r w:rsidRPr="0092648A">
        <w:rPr>
          <w:rStyle w:val="Char"/>
          <w:rFonts w:ascii="Times New Roman" w:hAnsi="Times New Roman" w:cs="Times New Roman" w:hint="cs"/>
          <w:rtl/>
        </w:rPr>
        <w:t>–</w:t>
      </w:r>
      <w:r w:rsidRPr="0092648A">
        <w:rPr>
          <w:rStyle w:val="Char"/>
          <w:rtl/>
        </w:rPr>
        <w:t xml:space="preserve"> </w:t>
      </w:r>
      <w:r w:rsidRPr="0092648A">
        <w:rPr>
          <w:rStyle w:val="Char"/>
          <w:rFonts w:hint="cs"/>
          <w:rtl/>
        </w:rPr>
        <w:t>لاسيما</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السنوات</w:t>
      </w:r>
      <w:r w:rsidRPr="0092648A">
        <w:rPr>
          <w:rStyle w:val="Char"/>
          <w:rtl/>
        </w:rPr>
        <w:t xml:space="preserve"> </w:t>
      </w:r>
      <w:r w:rsidRPr="0092648A">
        <w:rPr>
          <w:rStyle w:val="Char"/>
          <w:rFonts w:hint="cs"/>
          <w:rtl/>
        </w:rPr>
        <w:t xml:space="preserve">الأخيرة </w:t>
      </w:r>
      <w:r w:rsidRPr="0092648A">
        <w:rPr>
          <w:rStyle w:val="Char"/>
          <w:rtl/>
        </w:rPr>
        <w:t>-</w:t>
      </w:r>
      <w:r w:rsidRPr="0092648A">
        <w:rPr>
          <w:rStyle w:val="Char"/>
          <w:rFonts w:hint="cs"/>
          <w:rtl/>
        </w:rPr>
        <w:t xml:space="preserve"> </w:t>
      </w:r>
      <w:r w:rsidRPr="0092648A">
        <w:rPr>
          <w:rStyle w:val="Char"/>
          <w:rtl/>
        </w:rPr>
        <w:t xml:space="preserve"> </w:t>
      </w:r>
      <w:r w:rsidRPr="0092648A">
        <w:rPr>
          <w:rStyle w:val="Char"/>
          <w:rFonts w:hint="cs"/>
          <w:rtl/>
        </w:rPr>
        <w:t>اتجاهاً</w:t>
      </w:r>
      <w:r w:rsidRPr="0092648A">
        <w:rPr>
          <w:rStyle w:val="Char"/>
          <w:rtl/>
        </w:rPr>
        <w:t xml:space="preserve"> </w:t>
      </w:r>
      <w:r w:rsidRPr="0092648A">
        <w:rPr>
          <w:rStyle w:val="Char"/>
          <w:rFonts w:hint="cs"/>
          <w:rtl/>
        </w:rPr>
        <w:t>جديداً،</w:t>
      </w:r>
      <w:r w:rsidRPr="0092648A">
        <w:rPr>
          <w:rStyle w:val="Char"/>
          <w:rtl/>
        </w:rPr>
        <w:t xml:space="preserve"> </w:t>
      </w:r>
      <w:r w:rsidRPr="0092648A">
        <w:rPr>
          <w:rStyle w:val="Char"/>
          <w:rFonts w:hint="cs"/>
          <w:rtl/>
        </w:rPr>
        <w:t>يُعتبَر</w:t>
      </w:r>
      <w:r w:rsidRPr="0092648A">
        <w:rPr>
          <w:rStyle w:val="Char"/>
          <w:rtl/>
        </w:rPr>
        <w:t xml:space="preserve"> </w:t>
      </w:r>
      <w:r w:rsidRPr="0092648A">
        <w:rPr>
          <w:rStyle w:val="Char"/>
          <w:rFonts w:hint="cs"/>
          <w:rtl/>
        </w:rPr>
        <w:t>إلى</w:t>
      </w:r>
      <w:r w:rsidRPr="0092648A">
        <w:rPr>
          <w:rStyle w:val="Char"/>
          <w:rtl/>
        </w:rPr>
        <w:t xml:space="preserve"> </w:t>
      </w:r>
      <w:r w:rsidRPr="0092648A">
        <w:rPr>
          <w:rStyle w:val="Char"/>
          <w:rFonts w:hint="cs"/>
          <w:rtl/>
        </w:rPr>
        <w:t>حدٍّ</w:t>
      </w:r>
      <w:r w:rsidRPr="0092648A">
        <w:rPr>
          <w:rStyle w:val="Char"/>
          <w:rtl/>
        </w:rPr>
        <w:t xml:space="preserve"> </w:t>
      </w:r>
      <w:r w:rsidRPr="0092648A">
        <w:rPr>
          <w:rStyle w:val="Char"/>
          <w:rFonts w:hint="cs"/>
          <w:rtl/>
        </w:rPr>
        <w:t>ما</w:t>
      </w:r>
      <w:r w:rsidRPr="0092648A">
        <w:rPr>
          <w:rStyle w:val="Char"/>
          <w:rtl/>
        </w:rPr>
        <w:t xml:space="preserve"> </w:t>
      </w:r>
      <w:r w:rsidRPr="0092648A">
        <w:rPr>
          <w:rStyle w:val="Char"/>
          <w:rFonts w:hint="cs"/>
          <w:rtl/>
        </w:rPr>
        <w:t>امتدادًا</w:t>
      </w:r>
      <w:r w:rsidRPr="0092648A">
        <w:rPr>
          <w:rStyle w:val="Char"/>
          <w:rtl/>
        </w:rPr>
        <w:t xml:space="preserve"> </w:t>
      </w:r>
      <w:r w:rsidRPr="0092648A">
        <w:rPr>
          <w:rStyle w:val="Char"/>
          <w:rFonts w:hint="cs"/>
          <w:rtl/>
        </w:rPr>
        <w:t>للاتجاه</w:t>
      </w:r>
      <w:r w:rsidRPr="0092648A">
        <w:rPr>
          <w:rStyle w:val="Char"/>
          <w:rtl/>
        </w:rPr>
        <w:t xml:space="preserve"> </w:t>
      </w:r>
      <w:r w:rsidRPr="0092648A">
        <w:rPr>
          <w:rStyle w:val="Char"/>
          <w:rFonts w:hint="cs"/>
          <w:rtl/>
        </w:rPr>
        <w:t>الذي</w:t>
      </w:r>
      <w:r w:rsidRPr="0092648A">
        <w:rPr>
          <w:rStyle w:val="Char"/>
          <w:rtl/>
        </w:rPr>
        <w:t xml:space="preserve"> </w:t>
      </w:r>
      <w:r w:rsidRPr="0092648A">
        <w:rPr>
          <w:rStyle w:val="Char"/>
          <w:rFonts w:hint="cs"/>
          <w:rtl/>
        </w:rPr>
        <w:t>تحدثنا</w:t>
      </w:r>
      <w:r w:rsidRPr="0092648A">
        <w:rPr>
          <w:rStyle w:val="Char"/>
          <w:rtl/>
        </w:rPr>
        <w:t xml:space="preserve"> </w:t>
      </w:r>
      <w:r w:rsidRPr="0092648A">
        <w:rPr>
          <w:rStyle w:val="Char"/>
          <w:rFonts w:hint="cs"/>
          <w:rtl/>
        </w:rPr>
        <w:t>عنه</w:t>
      </w:r>
      <w:r w:rsidRPr="0092648A">
        <w:rPr>
          <w:rStyle w:val="Char"/>
          <w:rtl/>
        </w:rPr>
        <w:t xml:space="preserve"> </w:t>
      </w:r>
      <w:r w:rsidRPr="0092648A">
        <w:rPr>
          <w:rStyle w:val="Char"/>
          <w:rFonts w:hint="cs"/>
          <w:rtl/>
        </w:rPr>
        <w:t>حتى الآن</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هذا</w:t>
      </w:r>
      <w:r w:rsidRPr="0092648A">
        <w:rPr>
          <w:rStyle w:val="Char"/>
          <w:rtl/>
        </w:rPr>
        <w:t xml:space="preserve"> </w:t>
      </w:r>
      <w:r w:rsidRPr="0092648A">
        <w:rPr>
          <w:rStyle w:val="Char"/>
          <w:rFonts w:hint="cs"/>
          <w:rtl/>
        </w:rPr>
        <w:t>الفصل.</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وُلِدَ</w:t>
      </w:r>
      <w:r w:rsidRPr="0092648A">
        <w:rPr>
          <w:rStyle w:val="Char"/>
          <w:rtl/>
        </w:rPr>
        <w:t xml:space="preserve"> </w:t>
      </w:r>
      <w:r w:rsidRPr="0092648A">
        <w:rPr>
          <w:rStyle w:val="Char"/>
          <w:rFonts w:hint="cs"/>
          <w:rtl/>
        </w:rPr>
        <w:t>الدكتور</w:t>
      </w:r>
      <w:r w:rsidRPr="0092648A">
        <w:rPr>
          <w:rStyle w:val="Char"/>
          <w:rtl/>
        </w:rPr>
        <w:t xml:space="preserve"> </w:t>
      </w:r>
      <w:r w:rsidRPr="0092648A">
        <w:rPr>
          <w:rStyle w:val="Char"/>
          <w:rFonts w:hint="cs"/>
          <w:rtl/>
        </w:rPr>
        <w:t>محمد</w:t>
      </w:r>
      <w:r w:rsidRPr="0092648A">
        <w:rPr>
          <w:rStyle w:val="Char"/>
          <w:rtl/>
        </w:rPr>
        <w:t xml:space="preserve"> </w:t>
      </w:r>
      <w:r w:rsidRPr="0092648A">
        <w:rPr>
          <w:rStyle w:val="Char"/>
          <w:rFonts w:hint="cs"/>
          <w:rtl/>
        </w:rPr>
        <w:t>صادقي</w:t>
      </w:r>
      <w:r w:rsidRPr="0092648A">
        <w:rPr>
          <w:rStyle w:val="Char"/>
          <w:rtl/>
        </w:rPr>
        <w:t xml:space="preserve"> </w:t>
      </w:r>
      <w:r w:rsidRPr="0092648A">
        <w:rPr>
          <w:rStyle w:val="Char"/>
          <w:rFonts w:hint="cs"/>
          <w:rtl/>
        </w:rPr>
        <w:t>الطهراني</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طهران</w:t>
      </w:r>
      <w:r w:rsidRPr="0092648A">
        <w:rPr>
          <w:rStyle w:val="Char"/>
          <w:rtl/>
        </w:rPr>
        <w:t xml:space="preserve"> </w:t>
      </w:r>
      <w:r w:rsidRPr="0092648A">
        <w:rPr>
          <w:rStyle w:val="Char"/>
          <w:rFonts w:hint="cs"/>
          <w:rtl/>
        </w:rPr>
        <w:t>سنة</w:t>
      </w:r>
      <w:r w:rsidRPr="0092648A">
        <w:rPr>
          <w:rStyle w:val="Char"/>
          <w:rtl/>
        </w:rPr>
        <w:t xml:space="preserve"> 1307</w:t>
      </w:r>
      <w:r w:rsidRPr="0092648A">
        <w:rPr>
          <w:rStyle w:val="Char"/>
          <w:rFonts w:hint="cs"/>
          <w:rtl/>
        </w:rPr>
        <w:t>هـ</w:t>
      </w:r>
      <w:r w:rsidRPr="0092648A">
        <w:rPr>
          <w:rStyle w:val="Char"/>
          <w:rtl/>
        </w:rPr>
        <w:t>.</w:t>
      </w:r>
      <w:r w:rsidRPr="0092648A">
        <w:rPr>
          <w:rStyle w:val="Char"/>
          <w:rFonts w:hint="cs"/>
          <w:rtl/>
        </w:rPr>
        <w:t>ش</w:t>
      </w:r>
      <w:r w:rsidRPr="0092648A">
        <w:rPr>
          <w:rStyle w:val="Char"/>
          <w:rtl/>
        </w:rPr>
        <w:t xml:space="preserve"> [1928</w:t>
      </w:r>
      <w:r w:rsidRPr="0092648A">
        <w:rPr>
          <w:rStyle w:val="Char"/>
          <w:rFonts w:hint="cs"/>
          <w:rtl/>
        </w:rPr>
        <w:t>م</w:t>
      </w:r>
      <w:r w:rsidRPr="0092648A">
        <w:rPr>
          <w:rStyle w:val="Char"/>
          <w:rtl/>
        </w:rPr>
        <w:t>].</w:t>
      </w:r>
      <w:r w:rsidRPr="0092648A">
        <w:rPr>
          <w:rStyle w:val="Char"/>
          <w:rFonts w:hint="cs"/>
          <w:rtl/>
        </w:rPr>
        <w:t xml:space="preserve"> و</w:t>
      </w:r>
      <w:r w:rsidRPr="0092648A">
        <w:rPr>
          <w:rStyle w:val="Char"/>
          <w:rtl/>
        </w:rPr>
        <w:t>طبق</w:t>
      </w:r>
      <w:r w:rsidRPr="0092648A">
        <w:rPr>
          <w:rStyle w:val="Char"/>
          <w:rFonts w:hint="cs"/>
          <w:rtl/>
        </w:rPr>
        <w:t>ً</w:t>
      </w:r>
      <w:r w:rsidRPr="0092648A">
        <w:rPr>
          <w:rStyle w:val="Char"/>
          <w:rtl/>
        </w:rPr>
        <w:t>ا لما كتبه عن نفسه</w:t>
      </w:r>
      <w:r w:rsidRPr="0092648A">
        <w:rPr>
          <w:rStyle w:val="Char"/>
          <w:rFonts w:hint="cs"/>
          <w:rtl/>
        </w:rPr>
        <w:t>،</w:t>
      </w:r>
      <w:r w:rsidRPr="0092648A">
        <w:rPr>
          <w:rStyle w:val="Char"/>
          <w:rtl/>
        </w:rPr>
        <w:t xml:space="preserve"> ينتمي صادقي إلى أسرة من علماء الدين </w:t>
      </w:r>
      <w:r w:rsidRPr="0092648A">
        <w:rPr>
          <w:rStyle w:val="Char"/>
          <w:rFonts w:hint="cs"/>
          <w:rtl/>
        </w:rPr>
        <w:t>تنتمي</w:t>
      </w:r>
      <w:r w:rsidRPr="0092648A">
        <w:rPr>
          <w:rStyle w:val="Char"/>
          <w:rtl/>
        </w:rPr>
        <w:t xml:space="preserve"> </w:t>
      </w:r>
      <w:r w:rsidRPr="0092648A">
        <w:rPr>
          <w:rStyle w:val="Char"/>
          <w:rFonts w:hint="cs"/>
          <w:rtl/>
        </w:rPr>
        <w:t xml:space="preserve">إلى </w:t>
      </w:r>
      <w:r w:rsidRPr="0092648A">
        <w:rPr>
          <w:rStyle w:val="Char"/>
          <w:rtl/>
        </w:rPr>
        <w:t>المرحوم الحاج الشيخ رضا لسان المحققين</w:t>
      </w:r>
      <w:r w:rsidRPr="0092648A">
        <w:rPr>
          <w:rStyle w:val="Char"/>
          <w:rFonts w:hint="cs"/>
          <w:rtl/>
        </w:rPr>
        <w:t>.</w:t>
      </w:r>
      <w:r w:rsidRPr="0092648A">
        <w:rPr>
          <w:rStyle w:val="Char"/>
          <w:rtl/>
        </w:rPr>
        <w:t xml:space="preserve"> بعد أن أكمل دروسه الابتدائية في طهران، حضر مدة من الزمن دروس المرحوم ميرزا محمد علي شاه آبادي، ثم سافر إلى قم سنة 1320هـ.ش [1941م].</w:t>
      </w:r>
      <w:r w:rsidRPr="0092648A">
        <w:rPr>
          <w:rStyle w:val="Char"/>
          <w:rFonts w:hint="cs"/>
          <w:rtl/>
        </w:rPr>
        <w:t xml:space="preserve"> </w:t>
      </w:r>
      <w:r w:rsidRPr="0092648A">
        <w:rPr>
          <w:rStyle w:val="Char"/>
          <w:rtl/>
        </w:rPr>
        <w:t>بعد أن تكو</w:t>
      </w:r>
      <w:r w:rsidRPr="0092648A">
        <w:rPr>
          <w:rStyle w:val="Char"/>
          <w:rFonts w:hint="cs"/>
          <w:rtl/>
        </w:rPr>
        <w:t>َّ</w:t>
      </w:r>
      <w:r w:rsidRPr="0092648A">
        <w:rPr>
          <w:rStyle w:val="Char"/>
          <w:rtl/>
        </w:rPr>
        <w:t xml:space="preserve">ن </w:t>
      </w:r>
      <w:r w:rsidRPr="0092648A">
        <w:rPr>
          <w:rStyle w:val="Char"/>
          <w:rFonts w:hint="cs"/>
          <w:rtl/>
        </w:rPr>
        <w:t>لديه اتِّجاهٌ</w:t>
      </w:r>
      <w:r w:rsidRPr="0092648A">
        <w:rPr>
          <w:rStyle w:val="Char"/>
          <w:rtl/>
        </w:rPr>
        <w:t xml:space="preserve"> قرآني</w:t>
      </w:r>
      <w:r w:rsidRPr="0092648A">
        <w:rPr>
          <w:rStyle w:val="Char"/>
          <w:rFonts w:hint="cs"/>
          <w:rtl/>
        </w:rPr>
        <w:t>ٌّ</w:t>
      </w:r>
      <w:r w:rsidRPr="0092648A">
        <w:rPr>
          <w:rStyle w:val="Char"/>
          <w:rtl/>
        </w:rPr>
        <w:t xml:space="preserve"> تأث</w:t>
      </w:r>
      <w:r w:rsidRPr="0092648A">
        <w:rPr>
          <w:rStyle w:val="Char"/>
          <w:rFonts w:hint="cs"/>
          <w:rtl/>
        </w:rPr>
        <w:t>ُّرًا</w:t>
      </w:r>
      <w:r w:rsidRPr="0092648A">
        <w:rPr>
          <w:rStyle w:val="Char"/>
          <w:rtl/>
        </w:rPr>
        <w:t xml:space="preserve"> بالمرحوم شاه آبادي، بدأ في الوقت ذاته </w:t>
      </w:r>
      <w:r w:rsidRPr="0092648A">
        <w:rPr>
          <w:rStyle w:val="Char"/>
          <w:rFonts w:hint="cs"/>
          <w:rtl/>
        </w:rPr>
        <w:t>بحضور</w:t>
      </w:r>
      <w:r w:rsidRPr="0092648A">
        <w:rPr>
          <w:rStyle w:val="Char"/>
          <w:rtl/>
        </w:rPr>
        <w:t xml:space="preserve"> دروس </w:t>
      </w:r>
      <w:r w:rsidRPr="0092648A">
        <w:rPr>
          <w:rStyle w:val="Char"/>
          <w:rFonts w:hint="cs"/>
          <w:rtl/>
        </w:rPr>
        <w:t>ال</w:t>
      </w:r>
      <w:r w:rsidRPr="0092648A">
        <w:rPr>
          <w:rStyle w:val="Char"/>
          <w:rtl/>
        </w:rPr>
        <w:t xml:space="preserve">فقه </w:t>
      </w:r>
      <w:r w:rsidRPr="0092648A">
        <w:rPr>
          <w:rStyle w:val="Char"/>
          <w:rFonts w:hint="cs"/>
          <w:rtl/>
        </w:rPr>
        <w:t xml:space="preserve">التي يلقيها </w:t>
      </w:r>
      <w:r w:rsidRPr="0092648A">
        <w:rPr>
          <w:rStyle w:val="Char"/>
          <w:rtl/>
        </w:rPr>
        <w:t xml:space="preserve">آية الله البروجردي، وبعد أن مكث في قم عشر سنوات، عاد إلى طهران وبدأ الدراسة الجامعية فيها في جامعة المعقول والمنقول فحصل </w:t>
      </w:r>
      <w:r w:rsidRPr="0092648A">
        <w:rPr>
          <w:rStyle w:val="Char"/>
          <w:rFonts w:hint="cs"/>
          <w:rtl/>
        </w:rPr>
        <w:t xml:space="preserve">منها </w:t>
      </w:r>
      <w:r w:rsidRPr="0092648A">
        <w:rPr>
          <w:rStyle w:val="Char"/>
          <w:rtl/>
        </w:rPr>
        <w:t>على درجة الليسانس ثم الدكتورا</w:t>
      </w:r>
      <w:r w:rsidRPr="0092648A">
        <w:rPr>
          <w:rStyle w:val="Char"/>
          <w:rFonts w:hint="cs"/>
          <w:rtl/>
        </w:rPr>
        <w:t>ه،</w:t>
      </w:r>
      <w:r w:rsidRPr="0092648A">
        <w:rPr>
          <w:rStyle w:val="Char"/>
          <w:rtl/>
        </w:rPr>
        <w:t xml:space="preserve"> وبدأ </w:t>
      </w:r>
      <w:r w:rsidRPr="0092648A">
        <w:rPr>
          <w:rStyle w:val="Char"/>
          <w:rFonts w:hint="cs"/>
          <w:rtl/>
        </w:rPr>
        <w:t>العمل</w:t>
      </w:r>
      <w:r w:rsidRPr="0092648A">
        <w:rPr>
          <w:rStyle w:val="Char"/>
          <w:rtl/>
        </w:rPr>
        <w:t xml:space="preserve"> بالتدريس</w:t>
      </w:r>
      <w:r w:rsidRPr="0092648A">
        <w:rPr>
          <w:rStyle w:val="Char"/>
          <w:rFonts w:hint="cs"/>
          <w:rtl/>
        </w:rPr>
        <w:t>.</w:t>
      </w:r>
      <w:r w:rsidRPr="0092648A">
        <w:rPr>
          <w:rStyle w:val="Char"/>
          <w:rtl/>
        </w:rPr>
        <w:t xml:space="preserve"> </w:t>
      </w:r>
      <w:r w:rsidRPr="0092648A">
        <w:rPr>
          <w:rStyle w:val="Char"/>
          <w:rFonts w:hint="cs"/>
          <w:rtl/>
        </w:rPr>
        <w:t>بالتزامن</w:t>
      </w:r>
      <w:r w:rsidRPr="0092648A">
        <w:rPr>
          <w:rStyle w:val="Char"/>
          <w:rtl/>
        </w:rPr>
        <w:t xml:space="preserve"> </w:t>
      </w:r>
      <w:r w:rsidRPr="0092648A">
        <w:rPr>
          <w:rStyle w:val="Char"/>
          <w:rFonts w:hint="cs"/>
          <w:rtl/>
        </w:rPr>
        <w:t>مع</w:t>
      </w:r>
      <w:r w:rsidRPr="0092648A">
        <w:rPr>
          <w:rStyle w:val="Char"/>
          <w:rtl/>
        </w:rPr>
        <w:t xml:space="preserve"> </w:t>
      </w:r>
      <w:r w:rsidRPr="0092648A">
        <w:rPr>
          <w:rStyle w:val="Char"/>
          <w:rFonts w:hint="cs"/>
          <w:rtl/>
        </w:rPr>
        <w:t>ذلك كان صادقي يمارس</w:t>
      </w:r>
      <w:r w:rsidRPr="0092648A">
        <w:rPr>
          <w:rStyle w:val="Char"/>
          <w:rtl/>
        </w:rPr>
        <w:t xml:space="preserve"> </w:t>
      </w:r>
      <w:r w:rsidRPr="0092648A">
        <w:rPr>
          <w:rStyle w:val="Char"/>
          <w:rFonts w:hint="cs"/>
          <w:rtl/>
        </w:rPr>
        <w:t>نشاطات دَعَويَّةٍ من النوع</w:t>
      </w:r>
      <w:r w:rsidRPr="0092648A">
        <w:rPr>
          <w:rStyle w:val="Char"/>
          <w:rtl/>
        </w:rPr>
        <w:t xml:space="preserve"> </w:t>
      </w:r>
      <w:r w:rsidRPr="0092648A">
        <w:rPr>
          <w:rStyle w:val="Char"/>
          <w:rFonts w:hint="cs"/>
          <w:rtl/>
        </w:rPr>
        <w:t>الذي</w:t>
      </w:r>
      <w:r w:rsidRPr="0092648A">
        <w:rPr>
          <w:rStyle w:val="Char"/>
          <w:rtl/>
        </w:rPr>
        <w:t xml:space="preserve"> </w:t>
      </w:r>
      <w:r w:rsidRPr="0092648A">
        <w:rPr>
          <w:rStyle w:val="Char"/>
          <w:rFonts w:hint="cs"/>
          <w:rtl/>
        </w:rPr>
        <w:t>يحبه</w:t>
      </w:r>
      <w:r w:rsidRPr="0092648A">
        <w:rPr>
          <w:rStyle w:val="Char"/>
          <w:rtl/>
        </w:rPr>
        <w:t xml:space="preserve"> </w:t>
      </w:r>
      <w:r w:rsidRPr="0092648A">
        <w:rPr>
          <w:rStyle w:val="Char"/>
          <w:rFonts w:hint="cs"/>
          <w:rtl/>
        </w:rPr>
        <w:t>الشباب</w:t>
      </w:r>
      <w:r w:rsidRPr="0092648A">
        <w:rPr>
          <w:rStyle w:val="Char"/>
          <w:rtl/>
        </w:rPr>
        <w:t xml:space="preserve"> </w:t>
      </w:r>
      <w:r w:rsidRPr="0092648A">
        <w:rPr>
          <w:rStyle w:val="Char"/>
          <w:rFonts w:hint="cs"/>
          <w:rtl/>
        </w:rPr>
        <w:t>ويرغبون</w:t>
      </w:r>
      <w:r w:rsidRPr="0092648A">
        <w:rPr>
          <w:rStyle w:val="Char"/>
          <w:rtl/>
        </w:rPr>
        <w:t xml:space="preserve"> </w:t>
      </w:r>
      <w:r w:rsidRPr="0092648A">
        <w:rPr>
          <w:rStyle w:val="Char"/>
          <w:rFonts w:hint="cs"/>
          <w:rtl/>
        </w:rPr>
        <w:t>به.</w:t>
      </w:r>
      <w:r w:rsidRPr="0092648A">
        <w:rPr>
          <w:rStyle w:val="Char"/>
          <w:rtl/>
        </w:rPr>
        <w:t xml:space="preserve"> </w:t>
      </w:r>
      <w:r w:rsidRPr="0092648A">
        <w:rPr>
          <w:rStyle w:val="Char"/>
          <w:rFonts w:hint="cs"/>
          <w:rtl/>
        </w:rPr>
        <w:t>وفي</w:t>
      </w:r>
      <w:r w:rsidRPr="0092648A">
        <w:rPr>
          <w:rStyle w:val="Char"/>
          <w:rtl/>
        </w:rPr>
        <w:t xml:space="preserve"> </w:t>
      </w:r>
      <w:r w:rsidRPr="0092648A">
        <w:rPr>
          <w:rStyle w:val="Char"/>
          <w:rFonts w:hint="cs"/>
          <w:rtl/>
        </w:rPr>
        <w:t>سنة</w:t>
      </w:r>
      <w:r w:rsidRPr="0092648A">
        <w:rPr>
          <w:rStyle w:val="Char"/>
          <w:rtl/>
        </w:rPr>
        <w:t xml:space="preserve"> 1336</w:t>
      </w:r>
      <w:r w:rsidRPr="0092648A">
        <w:rPr>
          <w:rStyle w:val="Char"/>
          <w:rFonts w:hint="cs"/>
          <w:rtl/>
        </w:rPr>
        <w:t>هـ</w:t>
      </w:r>
      <w:r w:rsidRPr="0092648A">
        <w:rPr>
          <w:rStyle w:val="Char"/>
          <w:rtl/>
        </w:rPr>
        <w:t>.</w:t>
      </w:r>
      <w:r w:rsidRPr="0092648A">
        <w:rPr>
          <w:rStyle w:val="Char"/>
          <w:rFonts w:hint="cs"/>
          <w:rtl/>
        </w:rPr>
        <w:t>ش [1957م]</w:t>
      </w:r>
      <w:r w:rsidRPr="0092648A">
        <w:rPr>
          <w:rStyle w:val="Char"/>
          <w:rtl/>
        </w:rPr>
        <w:t xml:space="preserve"> </w:t>
      </w:r>
      <w:r w:rsidRPr="0092648A">
        <w:rPr>
          <w:rStyle w:val="Char"/>
          <w:rFonts w:hint="cs"/>
          <w:rtl/>
        </w:rPr>
        <w:t>ألقى</w:t>
      </w:r>
      <w:r w:rsidRPr="0092648A">
        <w:rPr>
          <w:rStyle w:val="Char"/>
          <w:rtl/>
        </w:rPr>
        <w:t xml:space="preserve"> </w:t>
      </w:r>
      <w:r w:rsidRPr="0092648A">
        <w:rPr>
          <w:rStyle w:val="Char"/>
          <w:rFonts w:hint="cs"/>
          <w:rtl/>
        </w:rPr>
        <w:t>خطبةً</w:t>
      </w:r>
      <w:r w:rsidRPr="0092648A">
        <w:rPr>
          <w:rStyle w:val="Char"/>
          <w:rtl/>
        </w:rPr>
        <w:t xml:space="preserve"> </w:t>
      </w:r>
      <w:r w:rsidRPr="0092648A">
        <w:rPr>
          <w:rStyle w:val="Char"/>
          <w:rFonts w:hint="cs"/>
          <w:rtl/>
        </w:rPr>
        <w:t>حادَّةً</w:t>
      </w:r>
      <w:r w:rsidRPr="0092648A">
        <w:rPr>
          <w:rStyle w:val="Char"/>
          <w:rtl/>
        </w:rPr>
        <w:t xml:space="preserve"> [</w:t>
      </w:r>
      <w:r w:rsidRPr="0092648A">
        <w:rPr>
          <w:rStyle w:val="Char"/>
          <w:rFonts w:hint="cs"/>
          <w:rtl/>
        </w:rPr>
        <w:t>ضد</w:t>
      </w:r>
      <w:r w:rsidRPr="0092648A">
        <w:rPr>
          <w:rStyle w:val="Char"/>
          <w:rtl/>
        </w:rPr>
        <w:t xml:space="preserve"> </w:t>
      </w:r>
      <w:r w:rsidRPr="0092648A">
        <w:rPr>
          <w:rStyle w:val="Char"/>
          <w:rFonts w:hint="cs"/>
          <w:rtl/>
        </w:rPr>
        <w:t>الشاه</w:t>
      </w:r>
      <w:r w:rsidRPr="0092648A">
        <w:rPr>
          <w:rStyle w:val="Char"/>
          <w:rtl/>
        </w:rPr>
        <w:t xml:space="preserve">] </w:t>
      </w:r>
      <w:r w:rsidRPr="0092648A">
        <w:rPr>
          <w:rStyle w:val="Char"/>
          <w:rFonts w:hint="cs"/>
          <w:rtl/>
        </w:rPr>
        <w:t>في</w:t>
      </w:r>
      <w:r w:rsidRPr="0092648A">
        <w:rPr>
          <w:rStyle w:val="Char"/>
          <w:rtl/>
        </w:rPr>
        <w:t xml:space="preserve"> </w:t>
      </w:r>
      <w:r w:rsidRPr="0092648A">
        <w:rPr>
          <w:rStyle w:val="Char"/>
          <w:rFonts w:hint="cs"/>
          <w:rtl/>
        </w:rPr>
        <w:t>منزل</w:t>
      </w:r>
      <w:r w:rsidRPr="0092648A">
        <w:rPr>
          <w:rStyle w:val="Char"/>
          <w:rtl/>
        </w:rPr>
        <w:t xml:space="preserve"> </w:t>
      </w:r>
      <w:r w:rsidRPr="0092648A">
        <w:rPr>
          <w:rStyle w:val="Char"/>
          <w:rFonts w:hint="cs"/>
          <w:rtl/>
        </w:rPr>
        <w:t>آية</w:t>
      </w:r>
      <w:r w:rsidRPr="0092648A">
        <w:rPr>
          <w:rStyle w:val="Char"/>
          <w:rtl/>
        </w:rPr>
        <w:t xml:space="preserve"> </w:t>
      </w:r>
      <w:r w:rsidRPr="0092648A">
        <w:rPr>
          <w:rStyle w:val="Char"/>
          <w:rFonts w:hint="cs"/>
          <w:rtl/>
        </w:rPr>
        <w:t>الله</w:t>
      </w:r>
      <w:r w:rsidRPr="0092648A">
        <w:rPr>
          <w:rStyle w:val="Char"/>
          <w:rtl/>
        </w:rPr>
        <w:t xml:space="preserve"> </w:t>
      </w:r>
      <w:r w:rsidRPr="0092648A">
        <w:rPr>
          <w:rStyle w:val="Char"/>
          <w:rFonts w:hint="cs"/>
          <w:rtl/>
        </w:rPr>
        <w:t>كاشاني</w:t>
      </w:r>
      <w:r w:rsidRPr="0092648A">
        <w:rPr>
          <w:rStyle w:val="Char"/>
          <w:rtl/>
        </w:rPr>
        <w:t xml:space="preserve"> </w:t>
      </w:r>
      <w:r w:rsidRPr="0092648A">
        <w:rPr>
          <w:rStyle w:val="Char"/>
          <w:rFonts w:hint="cs"/>
          <w:rtl/>
        </w:rPr>
        <w:t>مما</w:t>
      </w:r>
      <w:r w:rsidRPr="0092648A">
        <w:rPr>
          <w:rStyle w:val="Char"/>
          <w:rtl/>
        </w:rPr>
        <w:t xml:space="preserve"> </w:t>
      </w:r>
      <w:r w:rsidRPr="0092648A">
        <w:rPr>
          <w:rStyle w:val="Char"/>
          <w:rFonts w:hint="cs"/>
          <w:rtl/>
        </w:rPr>
        <w:t>أثار</w:t>
      </w:r>
      <w:r w:rsidRPr="0092648A">
        <w:rPr>
          <w:rStyle w:val="Char"/>
          <w:rtl/>
        </w:rPr>
        <w:t xml:space="preserve"> </w:t>
      </w:r>
      <w:r w:rsidRPr="0092648A">
        <w:rPr>
          <w:rStyle w:val="Char"/>
          <w:rFonts w:hint="cs"/>
          <w:rtl/>
        </w:rPr>
        <w:t>ضده</w:t>
      </w:r>
      <w:r w:rsidRPr="0092648A">
        <w:rPr>
          <w:rStyle w:val="Char"/>
          <w:rtl/>
        </w:rPr>
        <w:t xml:space="preserve"> </w:t>
      </w:r>
      <w:r w:rsidRPr="0092648A">
        <w:rPr>
          <w:rStyle w:val="Char"/>
          <w:rFonts w:hint="cs"/>
          <w:rtl/>
        </w:rPr>
        <w:t>جهاز</w:t>
      </w:r>
      <w:r w:rsidRPr="0092648A">
        <w:rPr>
          <w:rStyle w:val="Char"/>
          <w:rtl/>
        </w:rPr>
        <w:t xml:space="preserve"> </w:t>
      </w:r>
      <w:r w:rsidRPr="0092648A">
        <w:rPr>
          <w:rStyle w:val="Char"/>
          <w:rFonts w:hint="cs"/>
          <w:rtl/>
        </w:rPr>
        <w:t>السافاك</w:t>
      </w:r>
      <w:r w:rsidRPr="0092648A">
        <w:rPr>
          <w:rStyle w:val="Char"/>
          <w:rtl/>
        </w:rPr>
        <w:t xml:space="preserve"> </w:t>
      </w:r>
      <w:r w:rsidRPr="0092648A">
        <w:rPr>
          <w:rStyle w:val="Char"/>
          <w:rFonts w:hint="cs"/>
          <w:rtl/>
        </w:rPr>
        <w:t>الذي كان قد أُنْشئ حديثًا،</w:t>
      </w:r>
      <w:r w:rsidRPr="0092648A">
        <w:rPr>
          <w:rStyle w:val="Char"/>
          <w:rtl/>
        </w:rPr>
        <w:t xml:space="preserve"> </w:t>
      </w:r>
      <w:r w:rsidRPr="0092648A">
        <w:rPr>
          <w:rStyle w:val="Char"/>
          <w:rFonts w:hint="cs"/>
          <w:rtl/>
        </w:rPr>
        <w:t>وفي</w:t>
      </w:r>
      <w:r w:rsidRPr="0092648A">
        <w:rPr>
          <w:rStyle w:val="Char"/>
          <w:rtl/>
        </w:rPr>
        <w:t xml:space="preserve"> </w:t>
      </w:r>
      <w:r w:rsidRPr="0092648A">
        <w:rPr>
          <w:rStyle w:val="Char"/>
          <w:rFonts w:hint="cs"/>
          <w:rtl/>
        </w:rPr>
        <w:t>سنة</w:t>
      </w:r>
      <w:r w:rsidRPr="0092648A">
        <w:rPr>
          <w:rStyle w:val="Char"/>
          <w:rtl/>
        </w:rPr>
        <w:t xml:space="preserve"> 1338</w:t>
      </w:r>
      <w:r w:rsidRPr="0092648A">
        <w:rPr>
          <w:rStyle w:val="Char"/>
          <w:rFonts w:hint="cs"/>
          <w:rtl/>
        </w:rPr>
        <w:t>هـ</w:t>
      </w:r>
      <w:r w:rsidRPr="0092648A">
        <w:rPr>
          <w:rStyle w:val="Char"/>
          <w:rtl/>
        </w:rPr>
        <w:t>.</w:t>
      </w:r>
      <w:r w:rsidRPr="0092648A">
        <w:rPr>
          <w:rStyle w:val="Char"/>
          <w:rFonts w:hint="cs"/>
          <w:rtl/>
        </w:rPr>
        <w:t>ش</w:t>
      </w:r>
      <w:r w:rsidRPr="0092648A">
        <w:rPr>
          <w:rStyle w:val="Char"/>
          <w:rtl/>
        </w:rPr>
        <w:t xml:space="preserve"> [1959</w:t>
      </w:r>
      <w:r w:rsidRPr="0092648A">
        <w:rPr>
          <w:rStyle w:val="Char"/>
          <w:rFonts w:hint="cs"/>
          <w:rtl/>
        </w:rPr>
        <w:t>م</w:t>
      </w:r>
      <w:r w:rsidRPr="0092648A">
        <w:rPr>
          <w:rStyle w:val="Char"/>
          <w:rtl/>
        </w:rPr>
        <w:t xml:space="preserve">] </w:t>
      </w:r>
      <w:r w:rsidRPr="0092648A">
        <w:rPr>
          <w:rStyle w:val="Char"/>
          <w:rFonts w:hint="cs"/>
          <w:rtl/>
        </w:rPr>
        <w:t>قام</w:t>
      </w:r>
      <w:r w:rsidRPr="0092648A">
        <w:rPr>
          <w:rStyle w:val="Char"/>
          <w:rtl/>
        </w:rPr>
        <w:t xml:space="preserve"> </w:t>
      </w:r>
      <w:r w:rsidRPr="0092648A">
        <w:rPr>
          <w:rStyle w:val="Char"/>
          <w:rFonts w:hint="cs"/>
          <w:rtl/>
        </w:rPr>
        <w:t>جهاز</w:t>
      </w:r>
      <w:r w:rsidRPr="0092648A">
        <w:rPr>
          <w:rStyle w:val="Char"/>
          <w:rtl/>
        </w:rPr>
        <w:t xml:space="preserve"> </w:t>
      </w:r>
      <w:r w:rsidRPr="0092648A">
        <w:rPr>
          <w:rStyle w:val="Char"/>
          <w:rFonts w:hint="cs"/>
          <w:rtl/>
        </w:rPr>
        <w:t>السافاك</w:t>
      </w:r>
      <w:r w:rsidRPr="0092648A">
        <w:rPr>
          <w:rStyle w:val="Char"/>
          <w:rtl/>
        </w:rPr>
        <w:t xml:space="preserve"> </w:t>
      </w:r>
      <w:r w:rsidRPr="0092648A">
        <w:rPr>
          <w:rStyle w:val="Char"/>
          <w:rFonts w:hint="cs"/>
          <w:rtl/>
        </w:rPr>
        <w:t>ب</w:t>
      </w:r>
      <w:r w:rsidRPr="0092648A">
        <w:rPr>
          <w:rStyle w:val="Char"/>
          <w:rtl/>
        </w:rPr>
        <w:t xml:space="preserve">استجوابه </w:t>
      </w:r>
      <w:r w:rsidRPr="0092648A">
        <w:rPr>
          <w:rStyle w:val="Char"/>
          <w:rFonts w:hint="cs"/>
          <w:rtl/>
        </w:rPr>
        <w:t>ف</w:t>
      </w:r>
      <w:r w:rsidRPr="0092648A">
        <w:rPr>
          <w:rStyle w:val="Char"/>
          <w:rtl/>
        </w:rPr>
        <w:t xml:space="preserve">كان مما قاله </w:t>
      </w:r>
      <w:r w:rsidRPr="0092648A">
        <w:rPr>
          <w:rStyle w:val="Char"/>
          <w:rFonts w:hint="cs"/>
          <w:rtl/>
        </w:rPr>
        <w:t xml:space="preserve">صادقي </w:t>
      </w:r>
      <w:r w:rsidRPr="0092648A">
        <w:rPr>
          <w:rStyle w:val="Char"/>
          <w:rtl/>
        </w:rPr>
        <w:t>في ذلك الاستجواب: إن أباه الشيخ رضا لسان الواعظين كان من مؤسسي النهضة الدستورية و</w:t>
      </w:r>
      <w:r w:rsidRPr="0092648A">
        <w:rPr>
          <w:rStyle w:val="Char"/>
          <w:rFonts w:hint="cs"/>
          <w:rtl/>
        </w:rPr>
        <w:t>إ</w:t>
      </w:r>
      <w:r w:rsidRPr="0092648A">
        <w:rPr>
          <w:rStyle w:val="Char"/>
          <w:rtl/>
        </w:rPr>
        <w:t xml:space="preserve">ن رضا شاه كان قد أذن له بممارسة الوعظ </w:t>
      </w:r>
      <w:r w:rsidRPr="0092648A">
        <w:rPr>
          <w:rStyle w:val="Char"/>
          <w:rFonts w:hint="cs"/>
          <w:rtl/>
        </w:rPr>
        <w:t>لابسًا</w:t>
      </w:r>
      <w:r w:rsidRPr="0092648A">
        <w:rPr>
          <w:rStyle w:val="Char"/>
          <w:rtl/>
        </w:rPr>
        <w:t xml:space="preserve"> لباس رجال الدين.</w:t>
      </w:r>
    </w:p>
    <w:p w:rsidR="00DA6CFB" w:rsidRPr="0092648A" w:rsidRDefault="00DA6CFB" w:rsidP="0092648A">
      <w:pPr>
        <w:widowControl w:val="0"/>
        <w:spacing w:line="216" w:lineRule="auto"/>
        <w:ind w:firstLine="284"/>
        <w:jc w:val="both"/>
        <w:rPr>
          <w:rStyle w:val="Char"/>
          <w:rtl/>
        </w:rPr>
      </w:pPr>
      <w:r w:rsidRPr="0092648A">
        <w:rPr>
          <w:rStyle w:val="Char"/>
          <w:rtl/>
        </w:rPr>
        <w:t>دفعه حبه لآية الله الكاشاني إلى كتابة كُتَي</w:t>
      </w:r>
      <w:r w:rsidRPr="0092648A">
        <w:rPr>
          <w:rStyle w:val="Char"/>
          <w:rFonts w:hint="cs"/>
          <w:rtl/>
        </w:rPr>
        <w:t>ِّ</w:t>
      </w:r>
      <w:r w:rsidRPr="0092648A">
        <w:rPr>
          <w:rStyle w:val="Char"/>
          <w:rtl/>
        </w:rPr>
        <w:t>ب من 16 صفحة بمناسبة أربعينية وفاته شرح فيها جانباً من سيرة الكاشاني ومناقبه، وقد ط</w:t>
      </w:r>
      <w:r w:rsidRPr="0092648A">
        <w:rPr>
          <w:rStyle w:val="Char"/>
          <w:rFonts w:hint="cs"/>
          <w:rtl/>
        </w:rPr>
        <w:t>ُ</w:t>
      </w:r>
      <w:r w:rsidRPr="0092648A">
        <w:rPr>
          <w:rStyle w:val="Char"/>
          <w:rtl/>
        </w:rPr>
        <w:t>ب</w:t>
      </w:r>
      <w:r w:rsidRPr="0092648A">
        <w:rPr>
          <w:rStyle w:val="Char"/>
          <w:rFonts w:hint="cs"/>
          <w:rtl/>
        </w:rPr>
        <w:t>ِ</w:t>
      </w:r>
      <w:r w:rsidRPr="0092648A">
        <w:rPr>
          <w:rStyle w:val="Char"/>
          <w:rtl/>
        </w:rPr>
        <w:t>ع هذا الكت</w:t>
      </w:r>
      <w:r w:rsidRPr="0092648A">
        <w:rPr>
          <w:rStyle w:val="Char"/>
          <w:rFonts w:hint="cs"/>
          <w:rtl/>
        </w:rPr>
        <w:t>ا</w:t>
      </w:r>
      <w:r w:rsidRPr="0092648A">
        <w:rPr>
          <w:rStyle w:val="Char"/>
          <w:rtl/>
        </w:rPr>
        <w:t>ب في الأول من شهر ارديبهشت 1341هـ.ش [21/نيسان/1962م].</w:t>
      </w:r>
    </w:p>
    <w:p w:rsidR="00DA6CFB" w:rsidRPr="0092648A" w:rsidRDefault="00DA6CFB" w:rsidP="0092648A">
      <w:pPr>
        <w:widowControl w:val="0"/>
        <w:spacing w:line="216" w:lineRule="auto"/>
        <w:ind w:firstLine="284"/>
        <w:jc w:val="both"/>
        <w:rPr>
          <w:rStyle w:val="Char"/>
          <w:rtl/>
        </w:rPr>
      </w:pPr>
      <w:r w:rsidRPr="0092648A">
        <w:rPr>
          <w:rStyle w:val="Char"/>
          <w:rFonts w:hint="cs"/>
          <w:rtl/>
        </w:rPr>
        <w:t>تعاون صادقي مدَّةً من الزمن مع «فرهنگ نخعي» في مركز التشيع، لكنه انفصل عن «نخعي» بسبب شعار فصل الدين عن السياسة الذي كان ينادي به.</w:t>
      </w:r>
      <w:r w:rsidRPr="006E28E9">
        <w:rPr>
          <w:rStyle w:val="Char"/>
          <w:rFonts w:ascii="Arabic11 BT" w:hAnsi="Arabic11 BT" w:cs="Arabic11 BT"/>
          <w:vertAlign w:val="superscript"/>
          <w:rtl/>
        </w:rPr>
        <w:footnoteReference w:id="345"/>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بعد إلقائه خطبةً حادَّةً ضدَّ نظام الشاه سنة 1341 هـ.ش [1962م] هرب صادقي من إيران إلى مكة ومن هناك اتجه إلى العراق وبقي في النجف حتى حوالي سنة 1350 هـ.ش، وخلال تلك السنوات التسع كان صادقي واحدًا من رجال الدين المناضلين الذين يعملون إلى جانب الإمام [الخميني] ويمكننا أن نجد اسمه في بعض وثائق السافاك المتعلقة بملف الإمام.</w:t>
      </w:r>
      <w:r w:rsidRPr="006E28E9">
        <w:rPr>
          <w:rStyle w:val="Char"/>
          <w:rFonts w:ascii="Arabic11 BT" w:hAnsi="Arabic11 BT" w:cs="Arabic11 BT"/>
          <w:vertAlign w:val="superscript"/>
          <w:rtl/>
        </w:rPr>
        <w:footnoteReference w:id="346"/>
      </w:r>
      <w:r w:rsidRPr="0092648A">
        <w:rPr>
          <w:rStyle w:val="Char"/>
          <w:rFonts w:hint="cs"/>
          <w:rtl/>
        </w:rPr>
        <w:t xml:space="preserve"> طبقاً لرواية جهاز السافاك كان أول مَنْ ذهب مِنَ النجف إلى بغداد والكاظمين للقاء الإمام الخميني بعد وروده إلى العراق هو محمد صادقي.</w:t>
      </w:r>
      <w:r w:rsidRPr="006E28E9">
        <w:rPr>
          <w:rStyle w:val="Char"/>
          <w:rFonts w:ascii="Arabic11 BT" w:hAnsi="Arabic11 BT" w:cs="Arabic11 BT"/>
          <w:vertAlign w:val="superscript"/>
          <w:rtl/>
        </w:rPr>
        <w:footnoteReference w:id="347"/>
      </w:r>
      <w:r w:rsidRPr="0092648A">
        <w:rPr>
          <w:rStyle w:val="Char"/>
          <w:rFonts w:hint="cs"/>
          <w:rtl/>
        </w:rPr>
        <w:t xml:space="preserve"> وجاء في أحد الوثائق: «تم تصحيح كتاب ولاية الفقيه الذي كتبه السيد الخميني مِنْ قِبَلِ الدكتور صادقي في النجف».</w:t>
      </w:r>
      <w:r w:rsidRPr="006E28E9">
        <w:rPr>
          <w:rStyle w:val="Char"/>
          <w:rFonts w:ascii="Arabic11 BT" w:hAnsi="Arabic11 BT" w:cs="Arabic11 BT"/>
          <w:vertAlign w:val="superscript"/>
          <w:rtl/>
        </w:rPr>
        <w:footnoteReference w:id="348"/>
      </w:r>
      <w:r w:rsidRPr="0092648A">
        <w:rPr>
          <w:rStyle w:val="Char"/>
          <w:rFonts w:hint="cs"/>
          <w:rtl/>
        </w:rPr>
        <w:t xml:space="preserve"> وجاء في وثيقة أخرى  لجهاز السافاك: «منذ ورود السيد الخميني إلى بغداد، أصبح المذكور - أي صادقي - حاملاً للوائه وكان يتحرك معه في كل مكان».</w:t>
      </w:r>
      <w:r w:rsidRPr="006E28E9">
        <w:rPr>
          <w:rStyle w:val="Char"/>
          <w:rFonts w:ascii="Arabic11 BT" w:hAnsi="Arabic11 BT" w:cs="Arabic11 BT"/>
          <w:vertAlign w:val="superscript"/>
          <w:rtl/>
        </w:rPr>
        <w:footnoteReference w:id="349"/>
      </w:r>
      <w:r w:rsidRPr="0092648A">
        <w:rPr>
          <w:rStyle w:val="Char"/>
          <w:rFonts w:hint="cs"/>
          <w:rtl/>
        </w:rPr>
        <w:t xml:space="preserve"> ويروي موسى الموسوي إحدى ذكرياته التي إن صحَّت فإنها تفيد أن الإمام [الخميني] </w:t>
      </w:r>
      <w:r w:rsidRPr="0092648A">
        <w:rPr>
          <w:rStyle w:val="Char"/>
          <w:rFonts w:hint="cs"/>
          <w:rtl/>
        </w:rPr>
        <w:lastRenderedPageBreak/>
        <w:t>أعرض مدة من الزمن عن صادقي وتغير رأيه فيه.</w:t>
      </w:r>
      <w:r w:rsidRPr="006E28E9">
        <w:rPr>
          <w:rStyle w:val="Char"/>
          <w:rFonts w:ascii="Arabic11 BT" w:hAnsi="Arabic11 BT" w:cs="Arabic11 BT"/>
          <w:vertAlign w:val="superscript"/>
          <w:rtl/>
        </w:rPr>
        <w:footnoteReference w:id="350"/>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إضافةً إلى نشاطاته السياسية في العراق، كان صادقي يمارس هناك أعماله العلمية من تأليف وتدريس، وكان أحد تلامذته في هذا الإطار شخص كان من أصحاب الإمام وأعوانه وهو الشيخ محمد علي رحماني - الرئيس الحالي للمنظمة العقائدية السياسية في جهاز الشرطة. </w:t>
      </w:r>
    </w:p>
    <w:p w:rsidR="00DA6CFB" w:rsidRPr="0092648A" w:rsidRDefault="00DA6CFB" w:rsidP="0092648A">
      <w:pPr>
        <w:widowControl w:val="0"/>
        <w:spacing w:line="216" w:lineRule="auto"/>
        <w:ind w:firstLine="284"/>
        <w:jc w:val="both"/>
        <w:rPr>
          <w:rStyle w:val="Char"/>
          <w:rtl/>
        </w:rPr>
      </w:pPr>
      <w:r w:rsidRPr="0092648A">
        <w:rPr>
          <w:rStyle w:val="Char"/>
          <w:rFonts w:hint="cs"/>
          <w:rtl/>
        </w:rPr>
        <w:t>على إِثْر الضغوطات التي كانت الحكومة العراقية تمارسها ضد الإيرانيين المقيمين في العراق غادر صادقي العراق إلى لبنان، وواصل هناك نشاطاته الفكرية والسياسية مع مواصلة إقامته لصلاة الجمعة في لبنان. مع اشتداد الحرب الأهلية في لبنان سافر صادقي عام 1355 هـ.ش [1976م] إلى الحجاز وبقي هناك مدة سنتين. ولكنه اعتُقِل بسبب خطبه الحادة ضد نظام الشاه في إيران، وبعد أن أُطْلِق سراحه عاد إلى بيروت من جديد. عندما هاجر الإمام الخميني إلى باريس ذهب صادقي أيضًا إلى هناك ثم جاء إلى إيران. في آخر أيام الحكومة البهلوية كان صادقي يقيم صلاة الجمعة في حديقة الشعب في مدينة مشهد ويحضرها كثير من الناس. وكان صهره أيضًا أحمد نفري من الوجوه المناضلة الذي كان له نشاطاته في لبنان وبمجرد قدومه إلى إيران 1355 هـ.ش [1976م] اعتقلتْه سُلُطات الشاه.</w:t>
      </w:r>
      <w:r w:rsidRPr="006E28E9">
        <w:rPr>
          <w:rStyle w:val="Char"/>
          <w:rFonts w:ascii="Arabic11 BT" w:hAnsi="Arabic11 BT" w:cs="Arabic11 BT"/>
          <w:vertAlign w:val="superscript"/>
          <w:rtl/>
        </w:rPr>
        <w:footnoteReference w:id="351"/>
      </w:r>
    </w:p>
    <w:p w:rsidR="00DA6CFB" w:rsidRPr="0092648A" w:rsidRDefault="00DA6CFB" w:rsidP="0092648A">
      <w:pPr>
        <w:widowControl w:val="0"/>
        <w:spacing w:line="216" w:lineRule="auto"/>
        <w:ind w:firstLine="284"/>
        <w:jc w:val="both"/>
        <w:rPr>
          <w:rStyle w:val="Char"/>
          <w:rtl/>
        </w:rPr>
      </w:pPr>
      <w:r w:rsidRPr="0092648A">
        <w:rPr>
          <w:rStyle w:val="Char"/>
          <w:rFonts w:hint="cs"/>
          <w:rtl/>
        </w:rPr>
        <w:t>بعد انتصار الثورة، وباستثناء فترة من الزمن كان صادقي يقيم فيها صلاة الجمعة (في مسجد جمكران، كما أمَّ الجمعة مرة أو مرتين في جامعة طهران قبل أن يقوم الإمام الخميني بتعيين آية الله طالقاني لإقامة صلاة الجمعة في طهران)، كرَّس صادقي معظم وقته للتدريس والبحث والتأليف.</w:t>
      </w:r>
      <w:r w:rsidRPr="006E28E9">
        <w:rPr>
          <w:rStyle w:val="Char"/>
          <w:rFonts w:ascii="Arabic11 BT" w:hAnsi="Arabic11 BT" w:cs="Arabic11 BT"/>
          <w:vertAlign w:val="superscript"/>
          <w:rtl/>
        </w:rPr>
        <w:footnoteReference w:id="352"/>
      </w:r>
      <w:r w:rsidRPr="0092648A">
        <w:rPr>
          <w:rStyle w:val="Char"/>
          <w:rFonts w:hint="cs"/>
          <w:rtl/>
        </w:rPr>
        <w:t xml:space="preserve"> قال صادقي منتقداً نص ما كتبتُهُ عنه في الطبعة السادسة من الكتاب الحاليّ: إنه عُيِّن مِنْ قِبَلِ الإمام الخميني مسؤولاً عن لجنة الإجابة عن الأسئلة الموجَّهة إلى مكتبه في مكتب مجاور لمكتب الإمام، ولكنه قدّم استقالته بعد ذلك بسبب الإيذاء المتكرِّر مِنْ قِبَلِ محبي الجاه والسلطة، وذهب إلى ممارسة </w:t>
      </w:r>
      <w:r w:rsidRPr="0092648A">
        <w:rPr>
          <w:rStyle w:val="Char"/>
          <w:rFonts w:hint="cs"/>
          <w:rtl/>
        </w:rPr>
        <w:lastRenderedPageBreak/>
        <w:t>الأعمال العلمية. من الواضح أن الإمام لم يكن مُصِرًّا جدًّا على بقاء مثل هؤلاء الأفراد إلى جانبه.</w:t>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أعماله العلمية البارزة التي ابتدأها قبل سنوات من الثورة كتابته تفسيرًا للقرآن سمَّاه «</w:t>
      </w:r>
      <w:r w:rsidRPr="008C7124">
        <w:rPr>
          <w:rStyle w:val="Char7"/>
          <w:rFonts w:hint="cs"/>
          <w:rtl/>
        </w:rPr>
        <w:t>تفسير الفرقان</w:t>
      </w:r>
      <w:r w:rsidRPr="0092648A">
        <w:rPr>
          <w:rStyle w:val="Char"/>
          <w:rFonts w:hint="cs"/>
          <w:rtl/>
        </w:rPr>
        <w:t>» الذي هو - طبقاً لقول مؤلفه - نوع من تفسير القرآن بالقرآن، وقد طُبِع التفسير مع تقريظ العلامة الطباطبائي عليه في بدايته.</w:t>
      </w:r>
    </w:p>
    <w:p w:rsidR="00DA6CFB" w:rsidRPr="007C1704" w:rsidRDefault="00DA6CFB" w:rsidP="0092648A">
      <w:pPr>
        <w:widowControl w:val="0"/>
        <w:spacing w:line="216" w:lineRule="auto"/>
        <w:ind w:firstLine="284"/>
        <w:jc w:val="both"/>
        <w:rPr>
          <w:rStyle w:val="Char"/>
          <w:spacing w:val="-4"/>
          <w:rtl/>
        </w:rPr>
      </w:pPr>
      <w:r w:rsidRPr="007C1704">
        <w:rPr>
          <w:rStyle w:val="Char"/>
          <w:rFonts w:hint="cs"/>
          <w:spacing w:val="-4"/>
          <w:rtl/>
        </w:rPr>
        <w:t>في حادثة عودته من قم إلى طهران حوالي سنة 1330 هـ.ش كان صادقي من محبي آية الله كاشاني وأنصاره، وأشار في كتاب له بعنوان «</w:t>
      </w:r>
      <w:r w:rsidRPr="007C1704">
        <w:rPr>
          <w:rStyle w:val="Char8"/>
          <w:rFonts w:hint="cs"/>
          <w:spacing w:val="-4"/>
          <w:rtl/>
        </w:rPr>
        <w:t>نگاهى به انقلاب اسلامى 1920 عراق و نقش علماى مجاهد اسلام</w:t>
      </w:r>
      <w:r w:rsidRPr="007C1704">
        <w:rPr>
          <w:rStyle w:val="Char"/>
          <w:rFonts w:hint="cs"/>
          <w:spacing w:val="-4"/>
          <w:rtl/>
        </w:rPr>
        <w:t>» [أي: نظرة إلى ثورة عام 1920 الإسلامية في العراق ودور علماء الإسلام المجاهدين فيها] (قم، دار الفكر، 1358 هـ.ش/1979م) أشار صادقي إلى دور آية الله كاشاني في ثورة 1920 في العراق.</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كانت سوابقه السياسية في إيران قبل الثورة والتي أثرت في الوضع في إيران، خطبه الحادة والشديدة [ضد نظام الشاه] التي كان يلقيها في مكة وكانت أشرطتها تُنْقَل إلى إيران. في قم ظل صادقي يعطي دروسًا في تفسير القرآن بضع سنوات وكان ذلك </w:t>
      </w:r>
      <w:r w:rsidR="007C1704">
        <w:rPr>
          <w:rStyle w:val="Char"/>
          <w:rFonts w:hint="cs"/>
          <w:rtl/>
        </w:rPr>
        <w:t>في البداية في مسجد الإمام الحسن</w:t>
      </w:r>
      <w:r w:rsidR="00924380" w:rsidRPr="00924380">
        <w:rPr>
          <w:rStyle w:val="Char"/>
          <w:rFonts w:cs="CTraditional Arabic" w:hint="cs"/>
          <w:rtl/>
        </w:rPr>
        <w:t>÷</w:t>
      </w:r>
      <w:r w:rsidRPr="0092648A">
        <w:rPr>
          <w:rStyle w:val="Char"/>
          <w:rFonts w:hint="cs"/>
          <w:rtl/>
        </w:rPr>
        <w:t xml:space="preserve"> في مفرق البازار، ثم مسجد الإمام زين العابدين </w:t>
      </w:r>
      <w:r w:rsidR="00924380" w:rsidRPr="00924380">
        <w:rPr>
          <w:rStyle w:val="Char"/>
          <w:rFonts w:cs="CTraditional Arabic" w:hint="cs"/>
          <w:rtl/>
        </w:rPr>
        <w:t>÷</w:t>
      </w:r>
      <w:r w:rsidRPr="0092648A">
        <w:rPr>
          <w:rStyle w:val="Char"/>
          <w:rFonts w:hint="cs"/>
          <w:rtl/>
        </w:rPr>
        <w:t xml:space="preserve"> في بداية شارع چهارمردان، ولكنه تعرض إلى الأذى مِنْ قِبَلِ بعض الأفراد بسبب بعض آرائه المخالفة للآراء المشهورة [لدى الشيعة] إلى درجة أنه اضطر إلى إيقاف تدريسه مدة من الزمن. أضف إلى ذلك أنه وقع في مشاكل أخرى لا مجال لذكرها هنا.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ومن جملة مؤلفاته كتاب بعنوان «</w:t>
      </w:r>
      <w:r w:rsidRPr="008C7124">
        <w:rPr>
          <w:rStyle w:val="Char7"/>
          <w:rFonts w:hint="cs"/>
          <w:rtl/>
        </w:rPr>
        <w:t>مفسدين في الأرض</w:t>
      </w:r>
      <w:r w:rsidRPr="0092648A">
        <w:rPr>
          <w:rStyle w:val="Char"/>
          <w:rFonts w:hint="cs"/>
          <w:rtl/>
        </w:rPr>
        <w:t>» [المفسدون في الأرض] (قم، انتشارات جهاد، 1359 هـ.ش/1980م)، هَدَفَ من خلاله إلى التعريف بالمعنى الحقيقي لذلك التعبير الوارد في القرآن وبيان مصاديقه في عالم الواقع.</w:t>
      </w:r>
    </w:p>
    <w:p w:rsidR="00DA6CFB" w:rsidRPr="0092648A" w:rsidRDefault="00DA6CFB" w:rsidP="0092648A">
      <w:pPr>
        <w:widowControl w:val="0"/>
        <w:spacing w:line="216" w:lineRule="auto"/>
        <w:ind w:firstLine="284"/>
        <w:jc w:val="both"/>
        <w:rPr>
          <w:rStyle w:val="Char"/>
          <w:rtl/>
        </w:rPr>
      </w:pPr>
      <w:r w:rsidRPr="0092648A">
        <w:rPr>
          <w:rStyle w:val="Char"/>
          <w:rFonts w:hint="cs"/>
          <w:rtl/>
        </w:rPr>
        <w:t>في العقدين الأخيرين بشكل خاص، أخذ يؤكد بشكل صريح وواضح على اختلاف وجهات نظره عن وجهات نظر العلماء التقليديين الرسمية، وكان يعتقد أنه في كثير من استنباطاته الفقهية المخالفة لآراء الفقهاء، رأيه هو الأكثر صواباً وهو المتطابق مع القرآن والسنة. على سبيل المثال، قال إنه أرسل كتابه «</w:t>
      </w:r>
      <w:r w:rsidRPr="008C7124">
        <w:rPr>
          <w:rStyle w:val="Char7"/>
          <w:rFonts w:hint="cs"/>
          <w:rtl/>
        </w:rPr>
        <w:t>الفقهاء بين الكتاب والسنة</w:t>
      </w:r>
      <w:r w:rsidRPr="0092648A">
        <w:rPr>
          <w:rStyle w:val="Char"/>
          <w:rFonts w:hint="cs"/>
          <w:rtl/>
        </w:rPr>
        <w:t>» الذي تضمن بيان مئة حكم فقهي قرآني مهجور، إلى 120 عالماً من علماء الإسلام وأنهم جميعاً لزموا الصمت.</w:t>
      </w:r>
      <w:r w:rsidRPr="006E28E9">
        <w:rPr>
          <w:rStyle w:val="Char"/>
          <w:rFonts w:ascii="Arabic11 BT" w:hAnsi="Arabic11 BT" w:cs="Arabic11 BT"/>
          <w:vertAlign w:val="superscript"/>
          <w:rtl/>
        </w:rPr>
        <w:footnoteReference w:id="353"/>
      </w:r>
      <w:r w:rsidRPr="0092648A">
        <w:rPr>
          <w:rStyle w:val="Char"/>
          <w:rFonts w:hint="cs"/>
          <w:rtl/>
        </w:rPr>
        <w:t xml:space="preserve"> كما أنه وضع على أحد كتبه التي تضمنت </w:t>
      </w:r>
      <w:r w:rsidRPr="0092648A">
        <w:rPr>
          <w:rStyle w:val="Char"/>
          <w:rFonts w:hint="cs"/>
          <w:rtl/>
        </w:rPr>
        <w:lastRenderedPageBreak/>
        <w:t>مثل هذه الاستنباطات الفقهية الجديدة، عنوان «</w:t>
      </w:r>
      <w:r w:rsidRPr="0092648A">
        <w:rPr>
          <w:rStyle w:val="Char8"/>
          <w:rFonts w:hint="cs"/>
          <w:rtl/>
        </w:rPr>
        <w:t>فقه گو</w:t>
      </w:r>
      <w:r w:rsidR="008C7124">
        <w:rPr>
          <w:rStyle w:val="Char8"/>
          <w:rFonts w:hint="cs"/>
          <w:rtl/>
        </w:rPr>
        <w:t>ی</w:t>
      </w:r>
      <w:r w:rsidRPr="0092648A">
        <w:rPr>
          <w:rStyle w:val="Char8"/>
          <w:rFonts w:hint="cs"/>
          <w:rtl/>
        </w:rPr>
        <w:t>ا</w:t>
      </w:r>
      <w:r w:rsidRPr="0092648A">
        <w:rPr>
          <w:rStyle w:val="Char"/>
          <w:rFonts w:hint="cs"/>
          <w:rtl/>
        </w:rPr>
        <w:t>»</w:t>
      </w:r>
      <w:r w:rsidRPr="006E28E9">
        <w:rPr>
          <w:rStyle w:val="Char"/>
          <w:rFonts w:ascii="Arabic11 BT" w:hAnsi="Arabic11 BT" w:cs="Arabic11 BT"/>
          <w:vertAlign w:val="superscript"/>
          <w:rtl/>
        </w:rPr>
        <w:footnoteReference w:id="354"/>
      </w:r>
      <w:r w:rsidRPr="0092648A">
        <w:rPr>
          <w:rStyle w:val="Char"/>
          <w:rFonts w:hint="cs"/>
          <w:rtl/>
        </w:rPr>
        <w:t xml:space="preserve"> [الفقه الناطق] وهو تعبير وسط بين تعبيرين كانا سائدين في ذلك الوقت هما الفقه التقليدي والفقه المتحرك المرن. وقد أكد في ترجمته لسيرته الذاتية: «أنه وضع جميع العلوم الحوزوية المنتسبة إلى الإسلام التي تعلَّمها على أيدي كبار العلماء في الخمسين سنة الماضية، إلى جانب القرآن وأنه أدرك شيئاً فشيئاً الاختلاف الواسع بين تلك العلوم والقرآن الكريم».</w:t>
      </w:r>
      <w:r w:rsidRPr="006E28E9">
        <w:rPr>
          <w:rStyle w:val="Char"/>
          <w:rFonts w:ascii="Arabic11 BT" w:hAnsi="Arabic11 BT" w:cs="Arabic11 BT"/>
          <w:vertAlign w:val="superscript"/>
          <w:rtl/>
        </w:rPr>
        <w:footnoteReference w:id="355"/>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السيد صادقي من المؤمنين بوجوب صلاة الجمعة [في كل العصور] وكان يقيم صلاة الجمعة ويؤمها في بيروت ومشهد وفي مسجد جمكران في قم. لم يكن يعير اهتمامًا كثيرًا لعلم أصول الفقه، بل لم يكن يؤمن بمعظم قواعده، وكان يسعى إلى استنباط كل شيء استناداً إلى القرآن فقط. وهذه الأمور ذكرها هو نفسه في ترجمته الذاتية التي أوردها في آخر كتابه «</w:t>
      </w:r>
      <w:r w:rsidRPr="0092648A">
        <w:rPr>
          <w:rStyle w:val="Char8"/>
          <w:rFonts w:hint="cs"/>
          <w:rtl/>
        </w:rPr>
        <w:t>آفر</w:t>
      </w:r>
      <w:r w:rsidR="008C7124">
        <w:rPr>
          <w:rStyle w:val="Char8"/>
          <w:rFonts w:hint="cs"/>
          <w:rtl/>
        </w:rPr>
        <w:t>ی</w:t>
      </w:r>
      <w:r w:rsidRPr="0092648A">
        <w:rPr>
          <w:rStyle w:val="Char8"/>
          <w:rFonts w:hint="cs"/>
          <w:rtl/>
        </w:rPr>
        <w:t>ده وآفر</w:t>
      </w:r>
      <w:r w:rsidR="008C7124">
        <w:rPr>
          <w:rStyle w:val="Char8"/>
          <w:rFonts w:hint="cs"/>
          <w:rtl/>
        </w:rPr>
        <w:t>ی</w:t>
      </w:r>
      <w:r w:rsidRPr="0092648A">
        <w:rPr>
          <w:rStyle w:val="Char8"/>
          <w:rFonts w:hint="cs"/>
          <w:rtl/>
        </w:rPr>
        <w:t>دگار</w:t>
      </w:r>
      <w:r w:rsidRPr="0092648A">
        <w:rPr>
          <w:rStyle w:val="Char"/>
          <w:rFonts w:hint="cs"/>
          <w:rtl/>
        </w:rPr>
        <w:t>» [المخلوق والخالق] (قم، جامعة علوم القرآن، 1378 هـ.ش /1999م). ورغم الإعجاب بسعة مؤلفاته إلا أنه يُشاهد فيها نوع من الاعتماد الزائد على النفس وفي الوقت ذاته نوع من السذاجة والنظرة المبسطة للأمور. فمن جملة ذلك قوله: «كثيرًا ما حدث أن حاورت علماء كبار ولم أُفْحَم حتى مرةً واحدةً»!</w:t>
      </w:r>
      <w:r w:rsidRPr="006E28E9">
        <w:rPr>
          <w:rStyle w:val="Char"/>
          <w:rFonts w:ascii="Arabic11 BT" w:hAnsi="Arabic11 BT" w:cs="Arabic11 BT"/>
          <w:vertAlign w:val="superscript"/>
          <w:rtl/>
        </w:rPr>
        <w:footnoteReference w:id="356"/>
      </w:r>
      <w:r w:rsidRPr="0092648A">
        <w:rPr>
          <w:rStyle w:val="Char"/>
          <w:rFonts w:hint="cs"/>
          <w:rtl/>
        </w:rPr>
        <w:t xml:space="preserve"> وكتب على غلاف هذا الكتاب ذاته: نُشِر حتى الآن أكثر من مليون نسخة من هذا الكتاب!</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السيد صادقي متأثرًا في منهجه في تفسير القرآن بالمرحوم شاه آبادي وبالعلامة الطباطبائي، وقد تكوَّنت لديه شيئًا فشيئًا نزعةٌ قرآنيةٌ واتجاهٌ إلى استخراج كل الأصول الدينية ولاسيما المسائل الفقهية من القرآن. وقد سعى منذ سنوات سابقة إلى إنشاء مؤسسة تحمل عنوان «</w:t>
      </w:r>
      <w:r w:rsidRPr="008C7124">
        <w:rPr>
          <w:rStyle w:val="Char7"/>
          <w:rFonts w:hint="cs"/>
          <w:rtl/>
        </w:rPr>
        <w:t>جامعة علوم القرآن</w:t>
      </w:r>
      <w:r w:rsidRPr="0092648A">
        <w:rPr>
          <w:rStyle w:val="Char"/>
          <w:rFonts w:hint="cs"/>
          <w:rtl/>
        </w:rPr>
        <w:t>» لتكون مركزاً لنشر الأفكار القرآنية.</w:t>
      </w:r>
      <w:r w:rsidRPr="006E28E9">
        <w:rPr>
          <w:rStyle w:val="Char"/>
          <w:rFonts w:ascii="Arabic11 BT" w:hAnsi="Arabic11 BT" w:cs="Arabic11 BT"/>
          <w:vertAlign w:val="superscript"/>
          <w:rtl/>
        </w:rPr>
        <w:footnoteReference w:id="357"/>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طُبعت رسالته الفقهية بصورتين واحدة مختصرة وأخرى مفصلة، وتضمنت منهجاً جديداً يعرض الأحكام الفقهية برفقة أدلتها. طُبعت النسخة المختصرة لرسالته الفقهية تحت عنوان </w:t>
      </w:r>
      <w:r w:rsidRPr="008C7124">
        <w:rPr>
          <w:rStyle w:val="Char7"/>
          <w:rFonts w:hint="cs"/>
          <w:rtl/>
        </w:rPr>
        <w:t xml:space="preserve">توضيح </w:t>
      </w:r>
      <w:r w:rsidRPr="008C7124">
        <w:rPr>
          <w:rStyle w:val="Char7"/>
          <w:rFonts w:hint="cs"/>
          <w:rtl/>
        </w:rPr>
        <w:lastRenderedPageBreak/>
        <w:t>المسائل الجديد</w:t>
      </w:r>
      <w:r w:rsidRPr="0092648A">
        <w:rPr>
          <w:rStyle w:val="Char"/>
          <w:rFonts w:hint="cs"/>
          <w:rtl/>
        </w:rPr>
        <w:t xml:space="preserve"> في شهر بهمن 1375 هـ.ش/ 1997م، كما طبعت النسخة المفصلة منها تحت عنوان «</w:t>
      </w:r>
      <w:r w:rsidRPr="008C7124">
        <w:rPr>
          <w:rStyle w:val="Char7"/>
          <w:rFonts w:hint="cs"/>
          <w:rtl/>
        </w:rPr>
        <w:t>رسالة توضيح الرسائل الجديدة</w:t>
      </w:r>
      <w:r w:rsidRPr="0092648A">
        <w:rPr>
          <w:rStyle w:val="Char"/>
          <w:rFonts w:hint="cs"/>
          <w:rtl/>
        </w:rPr>
        <w:t xml:space="preserve">» في 435 صفحة، وذُكر في آخرها فهرس لجميع مؤلفاته. كانت أدبيات الطبعة الأولى لهذه الرسالة حادة إلى حدٍّ ما، لذا قام بتعديلها في الطبعة الحالية. كثير من الأحكام الفقهية في هذه الرسالة خارج بنحو من الأنحاء عن الإطار الرسمي لفقه الشيعة الذي لا يمثل - في رأي السيد صادقي - فقه الشيعة الحقيقي بل هو فقه ظاهري، هذا على الرغم من أن لكثير من فتاويه موافقين بين المتقدمين من  الفقهاء الذين ذكروا تلك الفتاوى بصورة قول نادر وشاذ وضعيف. وقد سعى في حاشية كتابه هذا إلى بيان مثل هذا التوافق والانسجام بين فتاواه وفتاوى الماضين. ومن مؤلفاته الأخرى التي تعكس مجال أبحاثه ودراساته الفكرية قبل الثورة وبعدها: </w:t>
      </w:r>
      <w:r w:rsidRPr="008C7124">
        <w:rPr>
          <w:rStyle w:val="Char7"/>
          <w:rFonts w:hint="cs"/>
          <w:rtl/>
        </w:rPr>
        <w:t>علي والحاكمون</w:t>
      </w:r>
      <w:r w:rsidRPr="0092648A">
        <w:rPr>
          <w:rStyle w:val="Char"/>
          <w:rFonts w:hint="cs"/>
          <w:rtl/>
        </w:rPr>
        <w:t xml:space="preserve">، </w:t>
      </w:r>
      <w:r w:rsidRPr="008C7124">
        <w:rPr>
          <w:rStyle w:val="Char7"/>
          <w:rFonts w:hint="cs"/>
          <w:rtl/>
        </w:rPr>
        <w:t>تبصرة الفقهاء</w:t>
      </w:r>
      <w:r w:rsidRPr="0092648A">
        <w:rPr>
          <w:rStyle w:val="Char"/>
          <w:rFonts w:hint="cs"/>
          <w:rtl/>
        </w:rPr>
        <w:t xml:space="preserve">، </w:t>
      </w:r>
      <w:r w:rsidRPr="008C7124">
        <w:rPr>
          <w:rStyle w:val="Char7"/>
          <w:rFonts w:hint="cs"/>
          <w:rtl/>
        </w:rPr>
        <w:t>السماوات والأرض والنجوم في نظر القرآن</w:t>
      </w:r>
      <w:r w:rsidRPr="0092648A">
        <w:rPr>
          <w:rStyle w:val="Char"/>
          <w:rFonts w:hint="cs"/>
          <w:rtl/>
        </w:rPr>
        <w:t xml:space="preserve"> (أطروحته لنيل درجة الدكتوراه سنة 1388 هـ.ش/ 2009م، في علم الإلهيات)، </w:t>
      </w:r>
      <w:r w:rsidRPr="0092648A">
        <w:rPr>
          <w:rStyle w:val="Char8"/>
          <w:rFonts w:hint="cs"/>
          <w:rtl/>
        </w:rPr>
        <w:t>آ</w:t>
      </w:r>
      <w:r w:rsidR="008C7124">
        <w:rPr>
          <w:rStyle w:val="Char8"/>
          <w:rFonts w:hint="cs"/>
          <w:rtl/>
        </w:rPr>
        <w:t>ی</w:t>
      </w:r>
      <w:r w:rsidRPr="0092648A">
        <w:rPr>
          <w:rStyle w:val="Char8"/>
          <w:rFonts w:hint="cs"/>
          <w:rtl/>
        </w:rPr>
        <w:t>ات رحمان</w:t>
      </w:r>
      <w:r w:rsidR="008C7124">
        <w:rPr>
          <w:rStyle w:val="Char8"/>
          <w:rFonts w:hint="cs"/>
          <w:rtl/>
        </w:rPr>
        <w:t>ی</w:t>
      </w:r>
      <w:r w:rsidRPr="0092648A">
        <w:rPr>
          <w:rStyle w:val="Char8"/>
          <w:rFonts w:hint="cs"/>
          <w:rtl/>
        </w:rPr>
        <w:t xml:space="preserve"> در رد آ</w:t>
      </w:r>
      <w:r w:rsidR="008C7124">
        <w:rPr>
          <w:rStyle w:val="Char8"/>
          <w:rFonts w:hint="cs"/>
          <w:rtl/>
        </w:rPr>
        <w:t>ی</w:t>
      </w:r>
      <w:r w:rsidRPr="0092648A">
        <w:rPr>
          <w:rStyle w:val="Char8"/>
          <w:rFonts w:hint="cs"/>
          <w:rtl/>
        </w:rPr>
        <w:t>ات ش</w:t>
      </w:r>
      <w:r w:rsidR="008C7124">
        <w:rPr>
          <w:rStyle w:val="Char8"/>
          <w:rFonts w:hint="cs"/>
          <w:rtl/>
        </w:rPr>
        <w:t>ی</w:t>
      </w:r>
      <w:r w:rsidRPr="0092648A">
        <w:rPr>
          <w:rStyle w:val="Char8"/>
          <w:rFonts w:hint="cs"/>
          <w:rtl/>
        </w:rPr>
        <w:t>طان</w:t>
      </w:r>
      <w:r w:rsidR="008C7124">
        <w:rPr>
          <w:rStyle w:val="Char8"/>
          <w:rFonts w:hint="cs"/>
          <w:rtl/>
        </w:rPr>
        <w:t>ی</w:t>
      </w:r>
      <w:r w:rsidRPr="0092648A">
        <w:rPr>
          <w:rStyle w:val="Char"/>
          <w:rFonts w:hint="cs"/>
          <w:rtl/>
        </w:rPr>
        <w:t xml:space="preserve"> [الآيات الرحمانية في الرد على الآيات الشيطانية</w:t>
      </w:r>
      <w:r w:rsidRPr="006E28E9">
        <w:rPr>
          <w:rStyle w:val="Char"/>
          <w:rFonts w:ascii="Arabic11 BT" w:hAnsi="Arabic11 BT" w:cs="Arabic11 BT"/>
          <w:vertAlign w:val="superscript"/>
          <w:rtl/>
        </w:rPr>
        <w:footnoteReference w:id="358"/>
      </w:r>
      <w:r w:rsidRPr="0092648A">
        <w:rPr>
          <w:rStyle w:val="Char"/>
          <w:rFonts w:hint="cs"/>
          <w:rtl/>
        </w:rPr>
        <w:t xml:space="preserve">]، </w:t>
      </w:r>
      <w:r w:rsidRPr="0092648A">
        <w:rPr>
          <w:rStyle w:val="Char8"/>
          <w:rFonts w:hint="cs"/>
          <w:rtl/>
        </w:rPr>
        <w:t>ماتر</w:t>
      </w:r>
      <w:r w:rsidR="008C7124">
        <w:rPr>
          <w:rStyle w:val="Char8"/>
          <w:rFonts w:hint="cs"/>
          <w:rtl/>
        </w:rPr>
        <w:t>ی</w:t>
      </w:r>
      <w:r w:rsidRPr="0092648A">
        <w:rPr>
          <w:rStyle w:val="Char8"/>
          <w:rFonts w:hint="cs"/>
          <w:rtl/>
        </w:rPr>
        <w:t>ال</w:t>
      </w:r>
      <w:r w:rsidR="008C7124">
        <w:rPr>
          <w:rStyle w:val="Char8"/>
          <w:rFonts w:hint="cs"/>
          <w:rtl/>
        </w:rPr>
        <w:t>ی</w:t>
      </w:r>
      <w:r w:rsidRPr="0092648A">
        <w:rPr>
          <w:rStyle w:val="Char8"/>
          <w:rFonts w:hint="cs"/>
          <w:rtl/>
        </w:rPr>
        <w:t>سم ومتاف</w:t>
      </w:r>
      <w:r w:rsidR="008C7124">
        <w:rPr>
          <w:rStyle w:val="Char8"/>
          <w:rFonts w:hint="cs"/>
          <w:rtl/>
        </w:rPr>
        <w:t>ی</w:t>
      </w:r>
      <w:r w:rsidRPr="0092648A">
        <w:rPr>
          <w:rStyle w:val="Char8"/>
          <w:rFonts w:hint="cs"/>
          <w:rtl/>
        </w:rPr>
        <w:t>ز</w:t>
      </w:r>
      <w:r w:rsidR="008C7124">
        <w:rPr>
          <w:rStyle w:val="Char8"/>
          <w:rFonts w:hint="cs"/>
          <w:rtl/>
        </w:rPr>
        <w:t>یک</w:t>
      </w:r>
      <w:r w:rsidRPr="0092648A">
        <w:rPr>
          <w:rStyle w:val="Char"/>
          <w:rFonts w:hint="cs"/>
          <w:rtl/>
        </w:rPr>
        <w:t xml:space="preserve"> [مذهب المادية، وما وراء الطبيعة]، </w:t>
      </w:r>
      <w:r w:rsidRPr="0092648A">
        <w:rPr>
          <w:rStyle w:val="Char8"/>
          <w:rFonts w:hint="cs"/>
          <w:rtl/>
        </w:rPr>
        <w:t>نماز جمعه</w:t>
      </w:r>
      <w:r w:rsidRPr="0092648A">
        <w:rPr>
          <w:rStyle w:val="Char"/>
          <w:rFonts w:hint="cs"/>
          <w:rtl/>
        </w:rPr>
        <w:t xml:space="preserve"> [صلاة الجمعة]، </w:t>
      </w:r>
      <w:r w:rsidRPr="0092648A">
        <w:rPr>
          <w:rStyle w:val="Char8"/>
          <w:rFonts w:hint="cs"/>
          <w:rtl/>
        </w:rPr>
        <w:t>بشارات عهد</w:t>
      </w:r>
      <w:r w:rsidR="008C7124">
        <w:rPr>
          <w:rStyle w:val="Char8"/>
          <w:rFonts w:hint="cs"/>
          <w:rtl/>
        </w:rPr>
        <w:t>ی</w:t>
      </w:r>
      <w:r w:rsidRPr="0092648A">
        <w:rPr>
          <w:rStyle w:val="Char8"/>
          <w:rFonts w:hint="cs"/>
          <w:rtl/>
        </w:rPr>
        <w:t>ن</w:t>
      </w:r>
      <w:r w:rsidRPr="0092648A">
        <w:rPr>
          <w:rStyle w:val="Char"/>
          <w:rFonts w:hint="cs"/>
          <w:rtl/>
        </w:rPr>
        <w:t xml:space="preserve"> و....الخ. </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وذُكِرَتْ عناوين أخرى لكتبه في نهاية إحدى رسائله التي نشرها بصورة مخطوط مكتوب باليد ومطبوع بصورة زيراكس بعنوان «</w:t>
      </w:r>
      <w:r w:rsidRPr="0092648A">
        <w:rPr>
          <w:rStyle w:val="Char8"/>
          <w:rFonts w:hint="cs"/>
          <w:rtl/>
        </w:rPr>
        <w:t>نقطه عطف</w:t>
      </w:r>
      <w:r w:rsidR="008C7124">
        <w:rPr>
          <w:rStyle w:val="Char8"/>
          <w:rFonts w:hint="cs"/>
          <w:rtl/>
        </w:rPr>
        <w:t>ی</w:t>
      </w:r>
      <w:r w:rsidRPr="0092648A">
        <w:rPr>
          <w:rStyle w:val="Char8"/>
          <w:rFonts w:hint="cs"/>
          <w:rtl/>
        </w:rPr>
        <w:t xml:space="preserve"> در فقاهت</w:t>
      </w:r>
      <w:r w:rsidRPr="0092648A">
        <w:rPr>
          <w:rStyle w:val="Char"/>
          <w:rFonts w:hint="cs"/>
          <w:rtl/>
        </w:rPr>
        <w:t>» [نقطة تحول في الفقه]، ومنها كتاب «</w:t>
      </w:r>
      <w:r w:rsidRPr="0092648A">
        <w:rPr>
          <w:rStyle w:val="Char8"/>
          <w:rFonts w:hint="cs"/>
          <w:rtl/>
        </w:rPr>
        <w:t>سپاه نگهبانان اسلام</w:t>
      </w:r>
      <w:r w:rsidRPr="0092648A">
        <w:rPr>
          <w:rStyle w:val="Char"/>
          <w:rFonts w:hint="cs"/>
          <w:rtl/>
        </w:rPr>
        <w:t>» [جيش حُرَّاس الإسلام] وكتاب «</w:t>
      </w:r>
      <w:r w:rsidRPr="0092648A">
        <w:rPr>
          <w:rStyle w:val="Char8"/>
          <w:rFonts w:hint="cs"/>
          <w:rtl/>
        </w:rPr>
        <w:t>ح</w:t>
      </w:r>
      <w:r w:rsidR="008C7124">
        <w:rPr>
          <w:rStyle w:val="Char8"/>
          <w:rFonts w:hint="cs"/>
          <w:rtl/>
        </w:rPr>
        <w:t>ک</w:t>
      </w:r>
      <w:r w:rsidRPr="0092648A">
        <w:rPr>
          <w:rStyle w:val="Char8"/>
          <w:rFonts w:hint="cs"/>
          <w:rtl/>
        </w:rPr>
        <w:t xml:space="preserve">ومت صالحان </w:t>
      </w:r>
      <w:r w:rsidR="008C7124">
        <w:rPr>
          <w:rStyle w:val="Char8"/>
          <w:rFonts w:hint="cs"/>
          <w:rtl/>
        </w:rPr>
        <w:t>ی</w:t>
      </w:r>
      <w:r w:rsidRPr="0092648A">
        <w:rPr>
          <w:rStyle w:val="Char8"/>
          <w:rFonts w:hint="cs"/>
          <w:rtl/>
        </w:rPr>
        <w:t>ا ولا</w:t>
      </w:r>
      <w:r w:rsidR="008C7124">
        <w:rPr>
          <w:rStyle w:val="Char8"/>
          <w:rFonts w:hint="cs"/>
          <w:rtl/>
        </w:rPr>
        <w:t>ی</w:t>
      </w:r>
      <w:r w:rsidRPr="0092648A">
        <w:rPr>
          <w:rStyle w:val="Char8"/>
          <w:rFonts w:hint="cs"/>
          <w:rtl/>
        </w:rPr>
        <w:t>ت فق</w:t>
      </w:r>
      <w:r w:rsidR="008C7124">
        <w:rPr>
          <w:rStyle w:val="Char8"/>
          <w:rFonts w:hint="cs"/>
          <w:rtl/>
        </w:rPr>
        <w:t>ی</w:t>
      </w:r>
      <w:r w:rsidRPr="0092648A">
        <w:rPr>
          <w:rStyle w:val="Char8"/>
          <w:rFonts w:hint="cs"/>
          <w:rtl/>
        </w:rPr>
        <w:t>هان</w:t>
      </w:r>
      <w:r w:rsidRPr="0092648A">
        <w:rPr>
          <w:rStyle w:val="Char"/>
          <w:rFonts w:hint="cs"/>
          <w:rtl/>
        </w:rPr>
        <w:t>» [حكومة الصالحين أو ولاية الفقهاء].</w:t>
      </w:r>
    </w:p>
    <w:p w:rsidR="00DA6CFB" w:rsidRPr="0092648A" w:rsidRDefault="00DA6CFB" w:rsidP="0092648A">
      <w:pPr>
        <w:widowControl w:val="0"/>
        <w:spacing w:line="216" w:lineRule="auto"/>
        <w:ind w:firstLine="284"/>
        <w:jc w:val="both"/>
        <w:rPr>
          <w:rStyle w:val="Char"/>
          <w:rtl/>
        </w:rPr>
      </w:pPr>
      <w:r w:rsidRPr="0092648A">
        <w:rPr>
          <w:rStyle w:val="Char"/>
          <w:rFonts w:hint="cs"/>
          <w:rtl/>
        </w:rPr>
        <w:t>بمعزل عن سعيه لجعل استدلالاته كلها استدلالات قرآنية، نجد لدى صادقي النزعة العقلانية التي هي من خصائص التفكير المعاصر. ويعتقد صادقي أن على المقلد أن يعلم مستندات الأحكام والفتاوى وأدلتها بشكل مَدَلَّل «ببراهين قادرة على إقناعه»، وأن يفهمها ويتجنب التقليد الأعمى.</w:t>
      </w:r>
      <w:r w:rsidRPr="006E28E9">
        <w:rPr>
          <w:rStyle w:val="Char"/>
          <w:rFonts w:ascii="Arabic11 BT" w:hAnsi="Arabic11 BT" w:cs="Arabic11 BT"/>
          <w:vertAlign w:val="superscript"/>
          <w:rtl/>
        </w:rPr>
        <w:footnoteReference w:id="359"/>
      </w:r>
      <w:r w:rsidRPr="0092648A">
        <w:rPr>
          <w:rStyle w:val="Char"/>
          <w:rFonts w:hint="cs"/>
          <w:rtl/>
        </w:rPr>
        <w:t xml:space="preserve"> هذه المسألة جعلت أفكاره مرتبطة بنوع من التفكير العقلاني العصري أكثر من كونها تقربه من مواقف الأخباريين الماضين من الاجتهاد.</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وخلاصة الكلام، إن هناك عددًا من النقاط المشتركة بينه وبين الخصائص التي ميَّزت هذه الطائفة من الأشخاص [أي من دعاة الإصلاح والتصحيح الذين نتحدث عنهم في هذا الفصل] </w:t>
      </w:r>
      <w:r w:rsidRPr="0092648A">
        <w:rPr>
          <w:rStyle w:val="Char"/>
          <w:rFonts w:hint="cs"/>
          <w:rtl/>
        </w:rPr>
        <w:lastRenderedPageBreak/>
        <w:t>ومن جملة هذه النقاط المشتركة: الاعتقاد بوجوب صلاة الجمعة،</w:t>
      </w:r>
      <w:r w:rsidRPr="006E28E9">
        <w:rPr>
          <w:rStyle w:val="Char"/>
          <w:rFonts w:ascii="Arabic11 BT" w:hAnsi="Arabic11 BT" w:cs="Arabic11 BT"/>
          <w:vertAlign w:val="superscript"/>
          <w:rtl/>
        </w:rPr>
        <w:footnoteReference w:id="360"/>
      </w:r>
      <w:r w:rsidRPr="0092648A">
        <w:rPr>
          <w:rStyle w:val="Char"/>
          <w:rFonts w:hint="cs"/>
          <w:rtl/>
        </w:rPr>
        <w:t xml:space="preserve"> الموقف من الخُمْس،</w:t>
      </w:r>
      <w:r w:rsidRPr="006E28E9">
        <w:rPr>
          <w:rStyle w:val="Char"/>
          <w:rFonts w:ascii="Arabic11 BT" w:hAnsi="Arabic11 BT" w:cs="Arabic11 BT"/>
          <w:vertAlign w:val="superscript"/>
          <w:rtl/>
        </w:rPr>
        <w:footnoteReference w:id="361"/>
      </w:r>
      <w:r w:rsidRPr="0092648A">
        <w:rPr>
          <w:rStyle w:val="Char"/>
          <w:rFonts w:hint="cs"/>
          <w:rtl/>
        </w:rPr>
        <w:t xml:space="preserve"> الاهتمام المُبالَغ به بالقرآن والتوجه إليه مع إهمال الأحاديث باعتبارها تخالف القرآن،</w:t>
      </w:r>
      <w:r w:rsidRPr="006E28E9">
        <w:rPr>
          <w:rStyle w:val="Char"/>
          <w:rFonts w:ascii="Arabic11 BT" w:hAnsi="Arabic11 BT" w:cs="Arabic11 BT"/>
          <w:vertAlign w:val="superscript"/>
          <w:rtl/>
        </w:rPr>
        <w:footnoteReference w:id="362"/>
      </w:r>
      <w:r w:rsidRPr="0092648A">
        <w:rPr>
          <w:rStyle w:val="Char"/>
          <w:rFonts w:hint="cs"/>
          <w:rtl/>
        </w:rPr>
        <w:t xml:space="preserve"> وهو أمر أتاح له حريَّةً أكثر لتبسيط الدين وتيسير أحكامه، ووفَّر حريةً أكثر للاجتهاد الحرّ. ولطالما كان موضوع تيسير الدين وتبسيط الفقه الديني من الأدوات التي استخدمها دعاة الإصلاح والتصحيح في عهد انتشار أفكار الإصلاح الديني، وكان أغلبُها يعني حذف ما يُطلق عليه «الإسلام أو الفقه التاريخي» الذي اعْتُبِر مختلفًا عن الإسلام أو الفقه الحقيقي، وكان ذلك سببًا في رسوخ النظرة المبسّطة الساذجة في كثير من استنباطاتهم الفقهية، ويبدو أن ما يقلقهم كان تلك الاجتهادات الغريبة التي كانت أسيرة بشكل مفرط للمجادلات والنزاعات الأصولية.</w:t>
      </w:r>
    </w:p>
    <w:p w:rsidR="00DA6CFB" w:rsidRDefault="00DA6CFB" w:rsidP="0092648A">
      <w:pPr>
        <w:pStyle w:val="2"/>
        <w:rPr>
          <w:rtl/>
        </w:rPr>
      </w:pPr>
      <w:bookmarkStart w:id="37" w:name="_Toc444083824"/>
      <w:r>
        <w:rPr>
          <w:rFonts w:hint="cs"/>
          <w:rtl/>
        </w:rPr>
        <w:lastRenderedPageBreak/>
        <w:t>13. أبو الحسن بني صدر</w:t>
      </w:r>
      <w:bookmarkEnd w:id="37"/>
    </w:p>
    <w:p w:rsidR="00DA6CFB" w:rsidRPr="0092648A" w:rsidRDefault="00DA6CFB" w:rsidP="0092648A">
      <w:pPr>
        <w:widowControl w:val="0"/>
        <w:spacing w:line="216" w:lineRule="auto"/>
        <w:ind w:firstLine="284"/>
        <w:jc w:val="both"/>
        <w:rPr>
          <w:rStyle w:val="Char"/>
          <w:rtl/>
        </w:rPr>
      </w:pPr>
      <w:r w:rsidRPr="0092648A">
        <w:rPr>
          <w:rStyle w:val="Char"/>
          <w:rFonts w:hint="cs"/>
          <w:rtl/>
        </w:rPr>
        <w:t>ولد أبو الحسن بني صدر بن نصر الله عام 1312 هـ.ش [1933م] في همدان لعائلة من علماء الدين. درس المرحلة الثانوية في طهران والتحق بالجامعة بعد سنة 1332 هـ.ش [1953م].</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منذ عام 1339 هـ.ش [1960م] انضم إلى الجبهة الوطنية الثانية، ومارس نشاطاً بحثياً خلال السنوات 1339- 1342 هـ.ش [1963م] في مؤسسة الأبحاث الاجتماعية (التي يرأسها إحسان النراقي)، ثم سافر إلى أوروبا وتابع هناك نشاطاته السياسية-الفكرية، لاسيما في باريس، إضافةً إلى بعض المقالات التي كان يكتبها للجبهة الوطنية. في عام 1348 هـ.ش [1969م] ترجم كتاب </w:t>
      </w:r>
      <w:r w:rsidRPr="0092648A">
        <w:rPr>
          <w:rStyle w:val="Char"/>
          <w:rFonts w:hint="eastAsia"/>
          <w:rtl/>
        </w:rPr>
        <w:t>«</w:t>
      </w:r>
      <w:r w:rsidRPr="0092648A">
        <w:rPr>
          <w:rStyle w:val="Char"/>
          <w:rFonts w:hint="cs"/>
          <w:rtl/>
        </w:rPr>
        <w:t>جهنميون فوق الأرض</w:t>
      </w:r>
      <w:r w:rsidRPr="0092648A">
        <w:rPr>
          <w:rStyle w:val="Char"/>
          <w:rFonts w:hint="eastAsia"/>
          <w:rtl/>
        </w:rPr>
        <w:t>»</w:t>
      </w:r>
      <w:r w:rsidRPr="0092648A">
        <w:rPr>
          <w:rStyle w:val="Char"/>
          <w:rFonts w:hint="cs"/>
          <w:rtl/>
        </w:rPr>
        <w:t xml:space="preserve"> لفرانتس فانون. في تلك الأيام ارتبطت أسماء أشخاص مثل قطب زاده، إبراهيم يزدي، حسن حبيبي (ولد عام 1315 هـ.ش) وآخرين كثيرين ببعضها في النضال ضد نظام الشاه وفي الوقت ذاته بالنضال الإسلامي- الوطني. وكانت بعض دور النشر مثل دار مصدِّق، ومدرِّس، ودوازده محرّم (12 محرم)، تنشر عديدًا من المؤلفات واستمر في ذلك حتى مشارف الثورة. كان حسن حبيبي صاحب دار النشر «مصدِّق</w:t>
      </w:r>
      <w:r w:rsidRPr="0092648A">
        <w:rPr>
          <w:rStyle w:val="Char"/>
          <w:rFonts w:hint="eastAsia"/>
          <w:rtl/>
        </w:rPr>
        <w:t>»</w:t>
      </w:r>
      <w:r w:rsidRPr="0092648A">
        <w:rPr>
          <w:rStyle w:val="Char"/>
          <w:rFonts w:hint="cs"/>
          <w:rtl/>
        </w:rPr>
        <w:t xml:space="preserve"> التي قامت بطباعه ونشر كتب عديدة من جملتها عدد من مؤلفات أبي الحسن بني صدر.</w:t>
      </w:r>
      <w:r w:rsidRPr="006E28E9">
        <w:rPr>
          <w:rStyle w:val="Char"/>
          <w:rFonts w:ascii="Arabic11 BT" w:hAnsi="Arabic11 BT" w:cs="Arabic11 BT"/>
          <w:vertAlign w:val="superscript"/>
          <w:rtl/>
        </w:rPr>
        <w:footnoteReference w:id="363"/>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أمضى بني صدر فترة شبابه مع مصدق لذا كان لديه محبة خاصة لمصدق وأدبياته، لكن رغم عواطفه تجاه مصدق، استقر في تيار النضال الإسلامي [ضد الشاه].</w:t>
      </w:r>
    </w:p>
    <w:p w:rsidR="00DA6CFB" w:rsidRPr="0092648A" w:rsidRDefault="00DA6CFB" w:rsidP="0092648A">
      <w:pPr>
        <w:widowControl w:val="0"/>
        <w:spacing w:line="216" w:lineRule="auto"/>
        <w:ind w:firstLine="284"/>
        <w:jc w:val="both"/>
        <w:rPr>
          <w:rStyle w:val="Char"/>
          <w:rtl/>
        </w:rPr>
      </w:pPr>
      <w:r w:rsidRPr="0092648A">
        <w:rPr>
          <w:rStyle w:val="Char"/>
          <w:rFonts w:hint="cs"/>
          <w:rtl/>
        </w:rPr>
        <w:t>على ضوء الهزائم التي حصلت للنهضة الوطنية وللحركة الإسلامية في شهر خرداد، سعى بني صدر إلى تدوين نظريات جديدة للنضال. وعندما جاء الإمام [الخميني] إلى باريس كان بني صدر إلى جانبه ثم رافق الإمام عند عودته إلى إيران، وكان أحد أعضاء مجلس قياده الثورة وشارك في تدوين مجلس الدستور في الخبراء، وانتخب أول رئيس للجمهورية في إيران [أي بعد الإطاحة بالشاه محمد رضا بهلوي وإنهاء الحكم الملكي في إيران عام 1979م]</w:t>
      </w:r>
      <w:r w:rsidRPr="006E28E9">
        <w:rPr>
          <w:rStyle w:val="Char"/>
          <w:rFonts w:ascii="Arabic11 BT" w:hAnsi="Arabic11 BT" w:cs="Arabic11 BT"/>
          <w:vertAlign w:val="superscript"/>
          <w:rtl/>
        </w:rPr>
        <w:footnoteReference w:id="364"/>
      </w:r>
      <w:r w:rsidRPr="0092648A">
        <w:rPr>
          <w:rStyle w:val="Char"/>
          <w:rFonts w:hint="cs"/>
          <w:rtl/>
        </w:rPr>
        <w:t xml:space="preserve">. ولكن بعد فترة من النزاعات </w:t>
      </w:r>
      <w:r w:rsidRPr="0092648A">
        <w:rPr>
          <w:rStyle w:val="Char"/>
          <w:rFonts w:hint="cs"/>
          <w:rtl/>
        </w:rPr>
        <w:lastRenderedPageBreak/>
        <w:t xml:space="preserve">السياسية، قام مجلس الشورى الإسلامي عام 1360هـ.ش [1981م] بحجب الثقة عن بني صدر وعزله من منصبه. عقب ذلك فرّ بني صدر من إيران برفقه مسعود رجوي.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المؤلفات الفكرية لبني صدر تنتشر بشكل رئيسي بين الطلاب المسلمين في أوروبا وأمريكا، وكان ذلك في حوالي الفترة بين 1353 إلى 1357هـ.ش [1972- 1976م]. وقد انتشرت معظم تلك المؤلفات في إيران سنة 1356هـ.ش بصورة طباعة مصورة (بالأفست). لذلك لا يمكننا أن ننسب إلى تلك المؤلَّفات تأثيرًا كبيرًا في أفكار الشعب [لاسيما الطلاب والمثقفين]، كالتأثير الذي كان لكتب الدكتور علي شريعتي أو المهندس بازركان، ولكن بسبب انتشارها قُبيل اندلاع الثورة تمامًا، وعلى وجه الدقَّة في ذلك  الجوّ الفكري الذي كان سائدًا في البلاد في السنوات من 1350 - 1356 هـ.ش [1971 - 1977م]، رأينا من الضروري أن نمرّ عليها، لاسيما أن مقارنتها بأفكار الآخرين أمر يستحق الانتباه.</w:t>
      </w:r>
    </w:p>
    <w:p w:rsidR="00DA6CFB" w:rsidRPr="0092648A" w:rsidRDefault="00DA6CFB" w:rsidP="0092648A">
      <w:pPr>
        <w:widowControl w:val="0"/>
        <w:spacing w:line="216" w:lineRule="auto"/>
        <w:ind w:firstLine="284"/>
        <w:jc w:val="both"/>
        <w:rPr>
          <w:rStyle w:val="Char"/>
          <w:rtl/>
        </w:rPr>
      </w:pPr>
      <w:r w:rsidRPr="0092648A">
        <w:rPr>
          <w:rStyle w:val="Char"/>
          <w:rFonts w:hint="cs"/>
          <w:rtl/>
        </w:rPr>
        <w:t>ذهب بني صدر إلى النجف سنة 1352 هـ.ش [1973م]، وكان الدافع لذلك أولًا دفن والده الذي توفي هناك، وبعد ذلك الاتصال بالإمام [الخميني] وسائر علماء الدين هناك، وهو اتصال أدَّى في نهاية  المطاف إلى مرافقة الإمام عند عودته إلى إيران، واستمرت هذه الصحبة وتطورت حتى أوصلت بني صدر إلى مقام رئاسة الجمهورية.</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عندما واجه بني صدر تأكيد الإمام بشأن التفكير في الحكومة الإسلامية، قام نتيجة لذلك بتأليف كتاب «</w:t>
      </w:r>
      <w:r w:rsidRPr="0092648A">
        <w:rPr>
          <w:rStyle w:val="Char8"/>
          <w:rFonts w:hint="cs"/>
          <w:rtl/>
        </w:rPr>
        <w:t>اصول پا</w:t>
      </w:r>
      <w:r w:rsidR="008C7124">
        <w:rPr>
          <w:rStyle w:val="Char8"/>
          <w:rFonts w:hint="cs"/>
          <w:rtl/>
        </w:rPr>
        <w:t>ی</w:t>
      </w:r>
      <w:r w:rsidRPr="0092648A">
        <w:rPr>
          <w:rStyle w:val="Char8"/>
          <w:rFonts w:hint="cs"/>
          <w:rtl/>
        </w:rPr>
        <w:t>ه (اصول راهنما) و ضابطه‌هاى ح</w:t>
      </w:r>
      <w:r w:rsidR="008C7124">
        <w:rPr>
          <w:rStyle w:val="Char8"/>
          <w:rFonts w:hint="cs"/>
          <w:rtl/>
        </w:rPr>
        <w:t>ک</w:t>
      </w:r>
      <w:r w:rsidRPr="0092648A">
        <w:rPr>
          <w:rStyle w:val="Char8"/>
          <w:rFonts w:hint="cs"/>
          <w:rtl/>
        </w:rPr>
        <w:t>ومت اسلامى</w:t>
      </w:r>
      <w:r w:rsidRPr="0092648A">
        <w:rPr>
          <w:rStyle w:val="Char"/>
          <w:rFonts w:hint="cs"/>
          <w:rtl/>
        </w:rPr>
        <w:t xml:space="preserve">» [الأسس المرشدة وضوابط الحكومة الإسلامية]، وكان التاريخ المذكور في مقدمة الكتاب هو صيف 1975م (خرداد 1353 هـ.ش). بحث بني صدر في هذا الكتاب، الذي يقع في 85 صفحة، موضوعَ الحكومة الإسلامية وأُسُسَهَا الفكرية، ولكنه لم يشر أدنى إشارة إلى نظرية ولاية الفقيه التي طرحها الإمام [الخميني] ولا إلى نظرية الحكم في الإسلام طبقاً للرؤية الشيعية، وبعد الثورة نشر بني صدر كتاباً بعنوان </w:t>
      </w:r>
      <w:r w:rsidRPr="0092648A">
        <w:rPr>
          <w:rStyle w:val="Char"/>
          <w:rFonts w:hint="eastAsia"/>
          <w:rtl/>
        </w:rPr>
        <w:t>«</w:t>
      </w:r>
      <w:r w:rsidRPr="0092648A">
        <w:rPr>
          <w:rStyle w:val="Char8"/>
          <w:rFonts w:hint="cs"/>
          <w:rtl/>
        </w:rPr>
        <w:t>ب</w:t>
      </w:r>
      <w:r w:rsidR="008C7124">
        <w:rPr>
          <w:rStyle w:val="Char8"/>
          <w:rFonts w:hint="cs"/>
          <w:rtl/>
        </w:rPr>
        <w:t>ی</w:t>
      </w:r>
      <w:r w:rsidRPr="0092648A">
        <w:rPr>
          <w:rStyle w:val="Char8"/>
          <w:rFonts w:hint="cs"/>
          <w:rtl/>
        </w:rPr>
        <w:t>ان</w:t>
      </w:r>
      <w:r w:rsidR="008C7124">
        <w:rPr>
          <w:rStyle w:val="Char8"/>
          <w:rFonts w:hint="cs"/>
          <w:rtl/>
        </w:rPr>
        <w:t>ی</w:t>
      </w:r>
      <w:r w:rsidRPr="0092648A">
        <w:rPr>
          <w:rStyle w:val="Char8"/>
          <w:rFonts w:hint="cs"/>
          <w:rtl/>
        </w:rPr>
        <w:t>ه جمهورى اسلامى</w:t>
      </w:r>
      <w:r w:rsidRPr="0092648A">
        <w:rPr>
          <w:rStyle w:val="Char"/>
          <w:rFonts w:hint="eastAsia"/>
          <w:rtl/>
        </w:rPr>
        <w:t>»</w:t>
      </w:r>
      <w:r w:rsidRPr="0092648A">
        <w:rPr>
          <w:rStyle w:val="Char"/>
          <w:rFonts w:hint="cs"/>
          <w:rtl/>
        </w:rPr>
        <w:t xml:space="preserve"> [بيان الجمهورية </w:t>
      </w:r>
      <w:r w:rsidRPr="0092648A">
        <w:rPr>
          <w:rStyle w:val="Char"/>
          <w:rFonts w:hint="cs"/>
          <w:rtl/>
        </w:rPr>
        <w:lastRenderedPageBreak/>
        <w:t>الإسلامية] بين فيه الطرق العملية لبناء إيران على ضوء الماضي واستنادًا إلى رؤية اقتصادية وسياسية بشكل أساسي. وصدرت الطبعة الثانية لكتابه «</w:t>
      </w:r>
      <w:r w:rsidRPr="0092648A">
        <w:rPr>
          <w:rStyle w:val="Char8"/>
          <w:rFonts w:hint="cs"/>
          <w:rtl/>
        </w:rPr>
        <w:t>أصول پا</w:t>
      </w:r>
      <w:r w:rsidR="008C7124">
        <w:rPr>
          <w:rStyle w:val="Char8"/>
          <w:rFonts w:hint="cs"/>
          <w:rtl/>
        </w:rPr>
        <w:t>ی</w:t>
      </w:r>
      <w:r w:rsidRPr="0092648A">
        <w:rPr>
          <w:rStyle w:val="Char8"/>
          <w:rFonts w:hint="cs"/>
          <w:rtl/>
        </w:rPr>
        <w:t>ه</w:t>
      </w:r>
      <w:r w:rsidRPr="0092648A">
        <w:rPr>
          <w:rStyle w:val="Char"/>
          <w:rFonts w:hint="eastAsia"/>
          <w:rtl/>
        </w:rPr>
        <w:t>»</w:t>
      </w:r>
      <w:r w:rsidRPr="0092648A">
        <w:rPr>
          <w:rStyle w:val="Char"/>
          <w:rFonts w:hint="cs"/>
          <w:rtl/>
        </w:rPr>
        <w:t xml:space="preserve"> تحت عنوان: «</w:t>
      </w:r>
      <w:r w:rsidRPr="0092648A">
        <w:rPr>
          <w:rStyle w:val="Char8"/>
          <w:rFonts w:hint="cs"/>
          <w:rtl/>
        </w:rPr>
        <w:t>اصول راهنما وضابطه‌هاى ح</w:t>
      </w:r>
      <w:r w:rsidR="008C7124">
        <w:rPr>
          <w:rStyle w:val="Char8"/>
          <w:rFonts w:hint="cs"/>
          <w:rtl/>
        </w:rPr>
        <w:t>ک</w:t>
      </w:r>
      <w:r w:rsidRPr="0092648A">
        <w:rPr>
          <w:rStyle w:val="Char8"/>
          <w:rFonts w:hint="cs"/>
          <w:rtl/>
        </w:rPr>
        <w:t>ومت اسلامى</w:t>
      </w:r>
      <w:r w:rsidRPr="0092648A">
        <w:rPr>
          <w:rStyle w:val="Char"/>
          <w:rFonts w:hint="eastAsia"/>
          <w:rtl/>
        </w:rPr>
        <w:t>»</w:t>
      </w:r>
      <w:r w:rsidRPr="0092648A">
        <w:rPr>
          <w:rStyle w:val="Char"/>
          <w:rFonts w:hint="cs"/>
          <w:rtl/>
        </w:rPr>
        <w:t xml:space="preserve"> [الأصول المرشدة وضوابط الحكومة الإسلامية] في 250 صفحة، وقد جمع فيه ما كان قد كتبه في عددٍ من كتبه السابقة حول الحكومة الإسلامية والأبحاث المتعلقة بأصول العقائد الإسلامية، والذي نُشر بعد الثورة (نشرته صحيفة الثورة الإسلامية).</w:t>
      </w:r>
    </w:p>
    <w:p w:rsidR="00DA6CFB"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أحد أعمال بني صدر كتابتُه لكتاب «</w:t>
      </w:r>
      <w:r w:rsidRPr="0092648A">
        <w:rPr>
          <w:rStyle w:val="Char8"/>
          <w:rFonts w:hint="cs"/>
          <w:rtl/>
        </w:rPr>
        <w:t>زور عل</w:t>
      </w:r>
      <w:r w:rsidR="008C7124">
        <w:rPr>
          <w:rStyle w:val="Char8"/>
          <w:rFonts w:hint="cs"/>
          <w:rtl/>
        </w:rPr>
        <w:t>ی</w:t>
      </w:r>
      <w:r w:rsidRPr="0092648A">
        <w:rPr>
          <w:rStyle w:val="Char8"/>
          <w:rFonts w:hint="cs"/>
          <w:rtl/>
        </w:rPr>
        <w:t>هِ عق</w:t>
      </w:r>
      <w:r w:rsidR="008C7124">
        <w:rPr>
          <w:rStyle w:val="Char8"/>
          <w:rFonts w:hint="cs"/>
          <w:rtl/>
        </w:rPr>
        <w:t>ی</w:t>
      </w:r>
      <w:r w:rsidRPr="0092648A">
        <w:rPr>
          <w:rStyle w:val="Char8"/>
          <w:rFonts w:hint="cs"/>
          <w:rtl/>
        </w:rPr>
        <w:t>ده</w:t>
      </w:r>
      <w:r w:rsidRPr="0092648A">
        <w:rPr>
          <w:rStyle w:val="Char"/>
          <w:rFonts w:hint="eastAsia"/>
          <w:rtl/>
        </w:rPr>
        <w:t>»</w:t>
      </w:r>
      <w:r w:rsidRPr="0092648A">
        <w:rPr>
          <w:rStyle w:val="Char"/>
          <w:rFonts w:hint="cs"/>
          <w:rtl/>
        </w:rPr>
        <w:t xml:space="preserve"> [ممارسة القوة ضد العقيدة] والذي طبع في إيران أيضًا تحت عنوان: «</w:t>
      </w:r>
      <w:r w:rsidRPr="0092648A">
        <w:rPr>
          <w:rStyle w:val="Char8"/>
          <w:rFonts w:hint="cs"/>
          <w:rtl/>
        </w:rPr>
        <w:t>منافقان از د</w:t>
      </w:r>
      <w:r w:rsidR="008C7124">
        <w:rPr>
          <w:rStyle w:val="Char8"/>
          <w:rFonts w:hint="cs"/>
          <w:rtl/>
        </w:rPr>
        <w:t>ی</w:t>
      </w:r>
      <w:r w:rsidRPr="0092648A">
        <w:rPr>
          <w:rStyle w:val="Char8"/>
          <w:rFonts w:hint="cs"/>
          <w:rtl/>
        </w:rPr>
        <w:t>دگاهِ ما</w:t>
      </w:r>
      <w:r w:rsidRPr="0092648A">
        <w:rPr>
          <w:rStyle w:val="Char"/>
          <w:rFonts w:hint="eastAsia"/>
          <w:rtl/>
        </w:rPr>
        <w:t>»</w:t>
      </w:r>
      <w:r w:rsidRPr="0092648A">
        <w:rPr>
          <w:rStyle w:val="Char"/>
          <w:rFonts w:hint="cs"/>
          <w:rtl/>
        </w:rPr>
        <w:t xml:space="preserve"> [المنافقون من وجهة نظرنا]، كُتِبَ هذا الكتاب في الجوِّ الذي ساد بعد حصول التحول الإيديولوجي في منظمة «مجاهدين خلق</w:t>
      </w:r>
      <w:r w:rsidRPr="0092648A">
        <w:rPr>
          <w:rStyle w:val="Char"/>
          <w:rFonts w:hint="eastAsia"/>
          <w:rtl/>
        </w:rPr>
        <w:t>»</w:t>
      </w:r>
      <w:r w:rsidRPr="0092648A">
        <w:rPr>
          <w:rStyle w:val="Char"/>
          <w:rFonts w:hint="cs"/>
          <w:rtl/>
        </w:rPr>
        <w:t>، نقدًا لمنشور «بيان المواقف</w:t>
      </w:r>
      <w:r w:rsidRPr="0092648A">
        <w:rPr>
          <w:rStyle w:val="Char"/>
          <w:rFonts w:hint="eastAsia"/>
          <w:rtl/>
        </w:rPr>
        <w:t>»</w:t>
      </w:r>
      <w:r w:rsidRPr="0092648A">
        <w:rPr>
          <w:rStyle w:val="Char"/>
          <w:rFonts w:hint="cs"/>
          <w:rtl/>
        </w:rPr>
        <w:t xml:space="preserve"> الذي أصدرته المنظمة في حينها. قامت دار نشر مدرِّس بطباعة الكتاب ونشره سنة 1356 هـ.ش [1977م] وطُبِعَ في إيران بصورة أُفْسِت. جاء في بداية الكتاب: «ليس الغرض من هذا النص الذي يجد القارئ بين يديه محاربة قلمية لمركزية منظمة (مجاهدين خلق)، بل هذه الدراسة محاولة لتوضيح العلل والعوامل والأساليب التي أدت بنا إلى ما نحن فيه الآن». كان الكتاب نقدًا للأساليب التي استخدمها جناح تقي شهرام لقلب منظمة مجاهدين خلق وتغيير مسارها أكثر من كونه نقدًا لأفكار مجاهدين خلق السابقة. وأما عنوان «</w:t>
      </w:r>
      <w:r w:rsidRPr="0092648A">
        <w:rPr>
          <w:rStyle w:val="Char8"/>
          <w:rFonts w:hint="cs"/>
          <w:rtl/>
        </w:rPr>
        <w:t>زور عل</w:t>
      </w:r>
      <w:r w:rsidR="008C7124">
        <w:rPr>
          <w:rStyle w:val="Char8"/>
          <w:rFonts w:hint="cs"/>
          <w:rtl/>
        </w:rPr>
        <w:t>ی</w:t>
      </w:r>
      <w:r w:rsidRPr="0092648A">
        <w:rPr>
          <w:rStyle w:val="Char8"/>
          <w:rFonts w:hint="cs"/>
          <w:rtl/>
        </w:rPr>
        <w:t>ه عق</w:t>
      </w:r>
      <w:r w:rsidR="008C7124">
        <w:rPr>
          <w:rStyle w:val="Char8"/>
          <w:rFonts w:hint="cs"/>
          <w:rtl/>
        </w:rPr>
        <w:t>ی</w:t>
      </w:r>
      <w:r w:rsidRPr="0092648A">
        <w:rPr>
          <w:rStyle w:val="Char8"/>
          <w:rFonts w:hint="cs"/>
          <w:rtl/>
        </w:rPr>
        <w:t>ده</w:t>
      </w:r>
      <w:r w:rsidRPr="0092648A">
        <w:rPr>
          <w:rStyle w:val="Char"/>
          <w:rFonts w:hint="cs"/>
          <w:rtl/>
        </w:rPr>
        <w:t>» [ممارسة القوة ضد العقيدة] فيُظهِر نقد أساليب منظمة المجاهدين أكثر من نقده للانحراف في العقيدة والفكر لدىهم. ورغم أن بني صدر ذَكَرَ في كتابه «</w:t>
      </w:r>
      <w:r w:rsidRPr="0092648A">
        <w:rPr>
          <w:rStyle w:val="Char8"/>
          <w:rFonts w:hint="cs"/>
          <w:rtl/>
        </w:rPr>
        <w:t>درس تجربه</w:t>
      </w:r>
      <w:r w:rsidRPr="0092648A">
        <w:rPr>
          <w:rStyle w:val="Char"/>
          <w:rFonts w:hint="cs"/>
          <w:rtl/>
        </w:rPr>
        <w:t>» أن كتاب «</w:t>
      </w:r>
      <w:r w:rsidRPr="0092648A">
        <w:rPr>
          <w:rStyle w:val="Char8"/>
          <w:rFonts w:hint="cs"/>
          <w:rtl/>
        </w:rPr>
        <w:t>شناخت</w:t>
      </w:r>
      <w:r w:rsidRPr="0092648A">
        <w:rPr>
          <w:rStyle w:val="Char"/>
          <w:rFonts w:hint="cs"/>
          <w:rtl/>
        </w:rPr>
        <w:t>» [وهو أهم كتاب فكري لمنظمة مجاهدين خلق] كتاب ماركسي، إلا أن السياسة جمعت بعد ذلك من جديد بين منظمة مجاهدين خلق وبني صدر، لكنْ سرعان ما انفصمت عرى هذا الاتحاد في جديد. ونُشِر أيضًا نص محاضرة بعنوان «</w:t>
      </w:r>
      <w:r w:rsidRPr="0092648A">
        <w:rPr>
          <w:rStyle w:val="Char8"/>
          <w:rFonts w:hint="cs"/>
          <w:rtl/>
        </w:rPr>
        <w:t>برچسپ‌هاى ناچسپ</w:t>
      </w:r>
      <w:r w:rsidRPr="0092648A">
        <w:rPr>
          <w:rStyle w:val="Char"/>
          <w:rFonts w:hint="cs"/>
          <w:rtl/>
        </w:rPr>
        <w:t xml:space="preserve">» [اتهامات باطلة] سنة 1356 هـ.ش </w:t>
      </w:r>
      <w:r w:rsidRPr="0092648A">
        <w:rPr>
          <w:rStyle w:val="Char"/>
          <w:rtl/>
        </w:rPr>
        <w:t>[197</w:t>
      </w:r>
      <w:r w:rsidRPr="0092648A">
        <w:rPr>
          <w:rStyle w:val="Char"/>
          <w:rFonts w:hint="cs"/>
          <w:rtl/>
        </w:rPr>
        <w:t>7</w:t>
      </w:r>
      <w:r w:rsidRPr="0092648A">
        <w:rPr>
          <w:rStyle w:val="Char"/>
          <w:rtl/>
        </w:rPr>
        <w:t>م]</w:t>
      </w:r>
      <w:r w:rsidRPr="0092648A">
        <w:rPr>
          <w:rStyle w:val="Char"/>
          <w:rFonts w:hint="cs"/>
          <w:rtl/>
        </w:rPr>
        <w:t xml:space="preserve"> باسم بني صدر، ولكن جاء في مقدمة المحاضرة أن هذا الكُتَيِّب نصٌّ لمحاضرة ألقاها أحد أعضاء اتحاد الطلبة المسلمين في أوروبا وأمريكا. ولم نرَ شيئاً يُكَذِّب نسبة هذه الخطبة أو المحاضرة لبني صدر، ولعل اسمه قد حُذِفَ من غلاف الكُتَيِّب من باب التقية في ذلك الزمن.</w:t>
      </w:r>
    </w:p>
    <w:p w:rsidR="007C1704" w:rsidRPr="0092648A" w:rsidRDefault="007C1704" w:rsidP="007C1704">
      <w:pPr>
        <w:widowControl w:val="0"/>
        <w:spacing w:line="216" w:lineRule="auto"/>
        <w:jc w:val="both"/>
        <w:rPr>
          <w:rStyle w:val="Char"/>
          <w:rtl/>
        </w:rPr>
      </w:pPr>
    </w:p>
    <w:p w:rsidR="00DA6CFB" w:rsidRPr="0092648A" w:rsidRDefault="00DA6CFB" w:rsidP="007C1704">
      <w:pPr>
        <w:pStyle w:val="a7"/>
        <w:rPr>
          <w:rStyle w:val="Char"/>
          <w:rtl/>
        </w:rPr>
      </w:pPr>
      <w:r w:rsidRPr="0092648A">
        <w:rPr>
          <w:rStyle w:val="Char"/>
          <w:rFonts w:hint="cs"/>
          <w:rtl/>
        </w:rPr>
        <w:lastRenderedPageBreak/>
        <w:t xml:space="preserve">بعض كتابات بني صدر الأخرى التي ألفها في السنوات السابقة للثورة هي: </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Pr="0092648A">
        <w:rPr>
          <w:rStyle w:val="Char8"/>
          <w:rFonts w:hint="cs"/>
          <w:rtl/>
        </w:rPr>
        <w:t>رابطه ماد</w:t>
      </w:r>
      <w:r w:rsidR="008C7124">
        <w:rPr>
          <w:rStyle w:val="Char8"/>
          <w:rFonts w:hint="cs"/>
          <w:rtl/>
        </w:rPr>
        <w:t>ی</w:t>
      </w:r>
      <w:r w:rsidRPr="0092648A">
        <w:rPr>
          <w:rStyle w:val="Char8"/>
          <w:rFonts w:hint="cs"/>
          <w:rtl/>
        </w:rPr>
        <w:t>ت و معنو</w:t>
      </w:r>
      <w:r w:rsidR="008C7124">
        <w:rPr>
          <w:rStyle w:val="Char8"/>
          <w:rFonts w:hint="cs"/>
          <w:rtl/>
        </w:rPr>
        <w:t>ی</w:t>
      </w:r>
      <w:r w:rsidRPr="0092648A">
        <w:rPr>
          <w:rStyle w:val="Char8"/>
          <w:rFonts w:hint="cs"/>
          <w:rtl/>
        </w:rPr>
        <w:t>ت</w:t>
      </w:r>
      <w:r w:rsidRPr="0092648A">
        <w:rPr>
          <w:rStyle w:val="Char"/>
          <w:rFonts w:hint="cs"/>
          <w:rtl/>
        </w:rPr>
        <w:t>» [العلاقة بين الماديات والمعنويات]، وهو نص محاضرة ألقاها على جماعة من الطلاب الذين أضربوا عن الطعام في باريس سنة 1356 هـ.ش [1972م] ونُشِرَت في ذلك الزمن ملحقةً بالعدد الثالث من نشرة «القدس»، إحدى نشرات لجنة فلسطين في اتحاد الطلبة المسلمين في أوروبا.</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008C7124">
        <w:rPr>
          <w:rStyle w:val="Char8"/>
          <w:rFonts w:hint="cs"/>
          <w:rtl/>
        </w:rPr>
        <w:t>کی</w:t>
      </w:r>
      <w:r w:rsidRPr="0092648A">
        <w:rPr>
          <w:rStyle w:val="Char8"/>
          <w:rFonts w:hint="cs"/>
          <w:rtl/>
        </w:rPr>
        <w:t>ش شخص</w:t>
      </w:r>
      <w:r w:rsidR="008C7124">
        <w:rPr>
          <w:rStyle w:val="Char8"/>
          <w:rFonts w:hint="cs"/>
          <w:rtl/>
        </w:rPr>
        <w:t>ی</w:t>
      </w:r>
      <w:r w:rsidRPr="0092648A">
        <w:rPr>
          <w:rStyle w:val="Char8"/>
          <w:rFonts w:hint="cs"/>
          <w:rtl/>
        </w:rPr>
        <w:t>ت</w:t>
      </w:r>
      <w:r w:rsidRPr="0092648A">
        <w:rPr>
          <w:rStyle w:val="Char"/>
          <w:rFonts w:hint="cs"/>
          <w:rtl/>
        </w:rPr>
        <w:t>» [عبادة الذات]. وكان من أكثر كتب بني صدر طباعةً وانتشارًا إذْ نُشِرَت طبعته الأولى في 16 آذر 1355 هـ.ش [تشريين الثاني 1977م]، ويحلل موضوع التكبّر والتمحور حول الذات فهو في الحقيقة كتاب أخلاقي. ومن المفارقة أن بني صدر اتُّهِم فيما بعد بأ</w:t>
      </w:r>
      <w:r w:rsidR="007C1704">
        <w:rPr>
          <w:rStyle w:val="Char"/>
          <w:rFonts w:hint="cs"/>
          <w:rtl/>
        </w:rPr>
        <w:t>نه هو  ذاته مبتلى بعبادة الذات.</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Pr="0092648A">
        <w:rPr>
          <w:rStyle w:val="Char8"/>
          <w:rFonts w:hint="cs"/>
          <w:rtl/>
        </w:rPr>
        <w:t>تعم</w:t>
      </w:r>
      <w:r w:rsidR="008C7124">
        <w:rPr>
          <w:rStyle w:val="Char8"/>
          <w:rFonts w:hint="cs"/>
          <w:rtl/>
        </w:rPr>
        <w:t>ی</w:t>
      </w:r>
      <w:r w:rsidRPr="0092648A">
        <w:rPr>
          <w:rStyle w:val="Char8"/>
          <w:rFonts w:hint="cs"/>
          <w:rtl/>
        </w:rPr>
        <w:t>م امامت و مبارزه با سانسور</w:t>
      </w:r>
      <w:r w:rsidRPr="0092648A">
        <w:rPr>
          <w:rStyle w:val="Char"/>
          <w:rFonts w:hint="cs"/>
          <w:rtl/>
        </w:rPr>
        <w:t>» [تعميم الإمامة ومحاربة الرقابة]، وذُكِر أن تاريخ إنهائه هو شهر مرداد من سنة 1357 هـ.ش. [1978م]. يتحدث هذا الكتاب عن موضوع تعميم أمر الإمامة وظروفها، وكان يُدَرَّس بعد الثورة مِنْ قِبَلِ بعض أصدقاء بني صدر المقربين منه في الأوساط المختلفة. وليس في هذا الكتاب أي نوع من البحث حول موضوع الإمامة طبقًا للمفهوم المذهبي المصطلح للإمامة، بل الكتاب يخلق لدى قارئه توهّمًا بأن المطروح في الكتاب هو أمر مقابل - أي معاكس - للإمامة بمفهومها الشيعي.</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Pr="0092648A">
        <w:rPr>
          <w:rStyle w:val="Char8"/>
          <w:rFonts w:hint="cs"/>
          <w:rtl/>
        </w:rPr>
        <w:t>جامعه شناسى خانواده در اسلام</w:t>
      </w:r>
      <w:r w:rsidRPr="0092648A">
        <w:rPr>
          <w:rStyle w:val="Char"/>
          <w:rFonts w:hint="cs"/>
          <w:rtl/>
        </w:rPr>
        <w:t>» [علم اجتماع الأسرة في الإسلام]، وهو مجموعة مقالات كان ينشرها في مجلة «اسلام مكتب مبارز» في السنوات 54 - 55 [1975-1976م] فما بعد، ثم جُمِعَت في كتاب مستقل. ومن الجدير بالذكر أن مقالات بني صدر كانت تُنْشَر في ذلك ال</w:t>
      </w:r>
      <w:r w:rsidR="007C1704">
        <w:rPr>
          <w:rStyle w:val="Char"/>
          <w:rFonts w:hint="cs"/>
          <w:rtl/>
        </w:rPr>
        <w:t>زمن تحت اسم مستعار هو أ. موسوي.</w:t>
      </w:r>
    </w:p>
    <w:p w:rsidR="00DA6CFB" w:rsidRPr="0092648A" w:rsidRDefault="00DA6CFB" w:rsidP="007C1704">
      <w:pPr>
        <w:pStyle w:val="ListParagraph"/>
        <w:widowControl w:val="0"/>
        <w:numPr>
          <w:ilvl w:val="0"/>
          <w:numId w:val="19"/>
        </w:numPr>
        <w:spacing w:line="216" w:lineRule="auto"/>
        <w:ind w:left="680" w:hanging="340"/>
        <w:jc w:val="both"/>
        <w:rPr>
          <w:rStyle w:val="Char"/>
          <w:rtl/>
        </w:rPr>
      </w:pPr>
      <w:r w:rsidRPr="0092648A">
        <w:rPr>
          <w:rStyle w:val="Char"/>
          <w:rFonts w:hint="cs"/>
          <w:rtl/>
        </w:rPr>
        <w:t>كتاب «</w:t>
      </w:r>
      <w:r w:rsidRPr="0092648A">
        <w:rPr>
          <w:rStyle w:val="Char8"/>
          <w:rFonts w:hint="cs"/>
          <w:rtl/>
        </w:rPr>
        <w:t>موقع</w:t>
      </w:r>
      <w:r w:rsidR="008C7124">
        <w:rPr>
          <w:rStyle w:val="Char8"/>
          <w:rFonts w:hint="cs"/>
          <w:rtl/>
        </w:rPr>
        <w:t>ی</w:t>
      </w:r>
      <w:r w:rsidRPr="0092648A">
        <w:rPr>
          <w:rStyle w:val="Char8"/>
          <w:rFonts w:hint="cs"/>
          <w:rtl/>
        </w:rPr>
        <w:t>ت ا</w:t>
      </w:r>
      <w:r w:rsidR="008C7124">
        <w:rPr>
          <w:rStyle w:val="Char8"/>
          <w:rFonts w:hint="cs"/>
          <w:rtl/>
        </w:rPr>
        <w:t>ی</w:t>
      </w:r>
      <w:r w:rsidRPr="0092648A">
        <w:rPr>
          <w:rStyle w:val="Char8"/>
          <w:rFonts w:hint="cs"/>
          <w:rtl/>
        </w:rPr>
        <w:t>ران و نقش مدرِّس</w:t>
      </w:r>
      <w:r w:rsidRPr="0092648A">
        <w:rPr>
          <w:rStyle w:val="Char"/>
          <w:rFonts w:hint="cs"/>
          <w:rtl/>
        </w:rPr>
        <w:t>» [مكانة إيران ودور مدرِّس</w:t>
      </w:r>
      <w:r w:rsidRPr="006E28E9">
        <w:rPr>
          <w:rStyle w:val="Char"/>
          <w:rFonts w:ascii="Arabic11 BT" w:hAnsi="Arabic11 BT" w:cs="Arabic11 BT"/>
          <w:vertAlign w:val="superscript"/>
          <w:rtl/>
        </w:rPr>
        <w:footnoteReference w:id="365"/>
      </w:r>
      <w:r w:rsidRPr="0092648A">
        <w:rPr>
          <w:rStyle w:val="Char"/>
          <w:rFonts w:hint="cs"/>
          <w:rtl/>
        </w:rPr>
        <w:t xml:space="preserve">] (الجزء الأول: تأملات </w:t>
      </w:r>
      <w:r w:rsidRPr="0092648A">
        <w:rPr>
          <w:rStyle w:val="Char"/>
          <w:rFonts w:hint="cs"/>
          <w:rtl/>
        </w:rPr>
        <w:lastRenderedPageBreak/>
        <w:t>في تاريخ التحولات الاقتصادية والسياسية والطبيعية في إيران والفكر السياسي والأخلاقي لمدرِّس). قامت بنشره في 10 آذار 1356 هـ.ش [1977م] انتشارات مدرِّس في باريس. تضمن الكتاب بشكل أساسي التاريخ السياسي الاقتصادي لإيران المعاصرة، واقتصرت آخر 35 صفحة منه على بيان الفكر السياسي والأخلاقي لمدرِّس.</w:t>
      </w:r>
    </w:p>
    <w:p w:rsidR="00DA6CFB" w:rsidRPr="0092648A" w:rsidRDefault="00DA6CFB" w:rsidP="007C1704">
      <w:pPr>
        <w:pStyle w:val="a7"/>
        <w:rPr>
          <w:rStyle w:val="Char"/>
          <w:rtl/>
        </w:rPr>
      </w:pPr>
      <w:r w:rsidRPr="0092648A">
        <w:rPr>
          <w:rStyle w:val="Char"/>
          <w:rFonts w:hint="cs"/>
          <w:rtl/>
        </w:rPr>
        <w:t xml:space="preserve">ومن أعماله العلمية الأخرى قبل الثورة أيضًا: </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Pr="0092648A">
        <w:rPr>
          <w:rStyle w:val="Char8"/>
          <w:rFonts w:hint="cs"/>
          <w:rtl/>
        </w:rPr>
        <w:t>نفط و سلطه</w:t>
      </w:r>
      <w:r w:rsidRPr="0092648A">
        <w:rPr>
          <w:rStyle w:val="Char"/>
          <w:rFonts w:hint="cs"/>
          <w:rtl/>
        </w:rPr>
        <w:t>» [النفط والسلطة] (أو دور النفط في نمو الرأسمالية على مستوى العالم والزمان). طبعَتْه أيضًا دار نشر مصدِّق في السابع من شهر شهريور سنة 1356 هـ.ش. [1977م]. ترك هذا الكتاب وكتابه الآخر «</w:t>
      </w:r>
      <w:r w:rsidRPr="0092648A">
        <w:rPr>
          <w:rStyle w:val="Char8"/>
          <w:rFonts w:hint="cs"/>
          <w:rtl/>
        </w:rPr>
        <w:t>اقتصاد توح</w:t>
      </w:r>
      <w:r w:rsidR="008C7124">
        <w:rPr>
          <w:rStyle w:val="Char8"/>
          <w:rFonts w:hint="cs"/>
          <w:rtl/>
        </w:rPr>
        <w:t>ی</w:t>
      </w:r>
      <w:r w:rsidRPr="0092648A">
        <w:rPr>
          <w:rStyle w:val="Char8"/>
          <w:rFonts w:hint="cs"/>
          <w:rtl/>
        </w:rPr>
        <w:t>دى</w:t>
      </w:r>
      <w:r w:rsidRPr="0092648A">
        <w:rPr>
          <w:rStyle w:val="Char"/>
          <w:rFonts w:hint="cs"/>
          <w:rtl/>
        </w:rPr>
        <w:t>» [الاقتصاد التوحيدي] انطباعاً عن بني صدر بأنه مفكر اقتصادي. ومن المحتَمَل أن يكون هذا الكتاب قد طُبِع في باريس سنة 1356 هـ.ش. أما طبعته الثانية فقد صدرت في إيران في شهر شهريور 1357 هـ.ش [1978م] حيث قامت بطباعتها دار نشر حجر.</w:t>
      </w:r>
    </w:p>
    <w:p w:rsidR="007C1704" w:rsidRDefault="00DA6CFB" w:rsidP="007C1704">
      <w:pPr>
        <w:pStyle w:val="ListParagraph"/>
        <w:widowControl w:val="0"/>
        <w:numPr>
          <w:ilvl w:val="0"/>
          <w:numId w:val="19"/>
        </w:numPr>
        <w:spacing w:line="216" w:lineRule="auto"/>
        <w:ind w:left="680" w:hanging="340"/>
        <w:jc w:val="both"/>
        <w:rPr>
          <w:rStyle w:val="Char"/>
        </w:rPr>
      </w:pPr>
      <w:r w:rsidRPr="0092648A">
        <w:rPr>
          <w:rStyle w:val="Char"/>
          <w:rFonts w:hint="cs"/>
          <w:rtl/>
        </w:rPr>
        <w:t>كتاب «</w:t>
      </w:r>
      <w:r w:rsidRPr="0092648A">
        <w:rPr>
          <w:rStyle w:val="Char8"/>
          <w:rFonts w:hint="cs"/>
          <w:rtl/>
        </w:rPr>
        <w:t>اقتصاد توح</w:t>
      </w:r>
      <w:r w:rsidR="008C7124">
        <w:rPr>
          <w:rStyle w:val="Char8"/>
          <w:rFonts w:hint="cs"/>
          <w:rtl/>
        </w:rPr>
        <w:t>ی</w:t>
      </w:r>
      <w:r w:rsidRPr="0092648A">
        <w:rPr>
          <w:rStyle w:val="Char8"/>
          <w:rFonts w:hint="cs"/>
          <w:rtl/>
        </w:rPr>
        <w:t>دى</w:t>
      </w:r>
      <w:r w:rsidRPr="0092648A">
        <w:rPr>
          <w:rStyle w:val="Char"/>
          <w:rFonts w:hint="cs"/>
          <w:rtl/>
        </w:rPr>
        <w:t>» يمثِّل الكتاب رؤية اقتصادية تستند إلى أسس الفقه الإسلامي الحالي أي احترام الملكية الخاصة مع مزج ذلك ببعض النظرات الأخلاقية - القرآنية، وبالطبع يميل إلى الحد من القدرة المالية والثروة مع التأكيد على العدالة الاجتماعية والقيود على ثروات الأفراد.</w:t>
      </w:r>
    </w:p>
    <w:p w:rsidR="007C1704" w:rsidRDefault="00DA6CFB" w:rsidP="007C1704">
      <w:pPr>
        <w:pStyle w:val="ListParagraph"/>
        <w:widowControl w:val="0"/>
        <w:numPr>
          <w:ilvl w:val="0"/>
          <w:numId w:val="19"/>
        </w:numPr>
        <w:spacing w:line="216" w:lineRule="auto"/>
        <w:ind w:left="794" w:hanging="454"/>
        <w:jc w:val="both"/>
        <w:rPr>
          <w:rStyle w:val="Char"/>
        </w:rPr>
      </w:pPr>
      <w:r w:rsidRPr="0092648A">
        <w:rPr>
          <w:rStyle w:val="Char"/>
          <w:rFonts w:hint="cs"/>
          <w:rtl/>
        </w:rPr>
        <w:t>من كتب بني صدر الأخرى «</w:t>
      </w:r>
      <w:r w:rsidRPr="0092648A">
        <w:rPr>
          <w:rStyle w:val="Char8"/>
          <w:rFonts w:hint="cs"/>
          <w:rtl/>
        </w:rPr>
        <w:t>موازنه‌ها</w:t>
      </w:r>
      <w:r w:rsidRPr="0092648A">
        <w:rPr>
          <w:rStyle w:val="Char"/>
          <w:rFonts w:hint="cs"/>
          <w:rtl/>
        </w:rPr>
        <w:t>» [الموازنات]، وتاريخ مقدمته هو شهر مرداد سنة 1356 هـ.ش [1977م]. إحدى القواعد الأساسية لنظرياته هي موضوع الموازنة العدمية التي فيها هروب من الإكراه والجبر والسلطة والشرك إلى التوحيد. يرى بني صدر أن الموازنة الوجودية للخروج من نور التوحيد إلى ظلمات الشرك هي في الغالب مفاهيم مختَرَعة مصطَنَعة وغير رسمية وأنها لم تجد المجال، من الناحية الدينية، للاعتراف الرسمي بها. في ختام هذا الكتاب قدّم المؤلف جدولاً لمفاهيم وُضِعَت تحت عناوين الموازنة الوجودية أو العدمية أو التلفيقية بينهما.</w:t>
      </w:r>
    </w:p>
    <w:p w:rsidR="00DA6CFB" w:rsidRPr="0092648A" w:rsidRDefault="00DA6CFB" w:rsidP="007C1704">
      <w:pPr>
        <w:pStyle w:val="ListParagraph"/>
        <w:widowControl w:val="0"/>
        <w:numPr>
          <w:ilvl w:val="0"/>
          <w:numId w:val="19"/>
        </w:numPr>
        <w:spacing w:line="216" w:lineRule="auto"/>
        <w:ind w:left="794" w:hanging="454"/>
        <w:jc w:val="both"/>
        <w:rPr>
          <w:rStyle w:val="Char"/>
          <w:rtl/>
        </w:rPr>
      </w:pPr>
      <w:r w:rsidRPr="0092648A">
        <w:rPr>
          <w:rStyle w:val="Char"/>
          <w:rFonts w:hint="cs"/>
          <w:rtl/>
        </w:rPr>
        <w:t xml:space="preserve">طُبِعَت مقالة بني صدر في الذكرى السنوية الأولى لوفاة شريعتي في باريس تحت عنوان </w:t>
      </w:r>
      <w:r w:rsidRPr="0092648A">
        <w:rPr>
          <w:rStyle w:val="Char"/>
          <w:rFonts w:hint="cs"/>
          <w:rtl/>
        </w:rPr>
        <w:lastRenderedPageBreak/>
        <w:t>«</w:t>
      </w:r>
      <w:r w:rsidRPr="0092648A">
        <w:rPr>
          <w:rStyle w:val="Char8"/>
          <w:rFonts w:hint="cs"/>
          <w:rtl/>
        </w:rPr>
        <w:t>در رَوِش</w:t>
      </w:r>
      <w:r w:rsidRPr="0092648A">
        <w:rPr>
          <w:rStyle w:val="Char"/>
          <w:rFonts w:hint="cs"/>
          <w:rtl/>
        </w:rPr>
        <w:t>» [في المنهج] ضمن الرسالة الخاصة التي صدَرَت وطُبِعَت بمناسبة الذكرى السنوية الأولى لرحيل الدكتور شريعتي. سعى بني صدر في مقاله هذا إلى إثبات التطابق بين وجهات نظره حول الموازنة العدمية والتوحيد والبعثة الدائمة ووجهات نظر الدكتور. في بداية هذه الرسالة اعتبر بني صدر أن كلا فريقي علماء الدين التقليديين، والمثقفين العصريين المتنورين يشكلان عائقاً أمام حصول التحول الإيجابي في المجتمع، وهو أمر يشبه وجهة نظر شريعتي التي طرحها في كتابه «</w:t>
      </w:r>
      <w:r w:rsidRPr="0092648A">
        <w:rPr>
          <w:rStyle w:val="Char8"/>
          <w:rFonts w:hint="cs"/>
          <w:rtl/>
        </w:rPr>
        <w:t>حسن و محبوبه</w:t>
      </w:r>
      <w:r w:rsidRPr="0092648A">
        <w:rPr>
          <w:rStyle w:val="Char"/>
          <w:rFonts w:hint="cs"/>
          <w:rtl/>
        </w:rPr>
        <w:t>»</w:t>
      </w:r>
      <w:r w:rsidRPr="006E28E9">
        <w:rPr>
          <w:rStyle w:val="Char"/>
          <w:rFonts w:ascii="Arabic11 BT" w:hAnsi="Arabic11 BT" w:cs="Arabic11 BT"/>
          <w:vertAlign w:val="superscript"/>
          <w:rtl/>
        </w:rPr>
        <w:footnoteReference w:id="366"/>
      </w:r>
      <w:r w:rsidRPr="0092648A">
        <w:rPr>
          <w:rStyle w:val="Char"/>
          <w:rFonts w:hint="cs"/>
          <w:rtl/>
        </w:rPr>
        <w:t xml:space="preserve"> سنة 1356 هـ.ش. كتب بني صدر عن رجال الدين يقول: «إن الزعامة التقليدية الحارسة للمؤسسات الثقافية لا يمكنها فعل شيء، لأنهم أخذوا منها على مدى قرنين كل مجالات الفكر والعمل وما زالوا يأخذون. ويمكن لهذا الزعامة أحيانًا أن تقوم بمقاومة صغيرة ومقبولة هنا وهناك ثم تستسلم بعد ذلك. ومن بين هذه الزعامات [الاستثنائية] ظهر أشخاص مثل السيد جمال [الدين الأ</w:t>
      </w:r>
      <w:r w:rsidR="007C1704">
        <w:rPr>
          <w:rStyle w:val="Char"/>
          <w:rFonts w:hint="cs"/>
          <w:rtl/>
        </w:rPr>
        <w:t>سد آبادي أو الأفغاني]، ومدرِّس</w:t>
      </w:r>
      <w:r w:rsidRPr="0092648A">
        <w:rPr>
          <w:rStyle w:val="Char"/>
          <w:rFonts w:hint="cs"/>
          <w:rtl/>
        </w:rPr>
        <w:t>.... والخميني وطالقاني و...، ولكن هؤلاء قبل أن يقضي عليهم العدو أقعدتهم هذه الزعامة التقليدية ذاتها ولاتزال تقعدهم وتعجزهم عن التحرك. وعلى كل حال فهؤلاء أصدقاء ويجب مساعدتهم، كما تجب الاستعانة بهم».</w:t>
      </w:r>
      <w:r w:rsidRPr="006E28E9">
        <w:rPr>
          <w:rStyle w:val="Char"/>
          <w:rFonts w:ascii="Arabic11 BT" w:hAnsi="Arabic11 BT" w:cs="Arabic11 BT"/>
          <w:vertAlign w:val="superscript"/>
          <w:rtl/>
        </w:rPr>
        <w:footnoteReference w:id="367"/>
      </w:r>
      <w:r w:rsidRPr="0092648A">
        <w:rPr>
          <w:rStyle w:val="Char"/>
          <w:rFonts w:hint="cs"/>
          <w:rtl/>
        </w:rPr>
        <w:t xml:space="preserve"> يُقَدِّم هذا التفسير نوعًا من الرؤية الإرشادية للقراء يحثهم على الانفصال عن الزعامة التقليدية، مع توصيتهم بالاستفادة من تلك الاستثناءات والاستعانة بهم -أي الاستفادة منهم كسلم- لتحقيق الأهداف المرجوَّة، وهو ما قام به بني صدر عمليًّا لكنه لم يصل إلى أي نتيجة ولم يستفد من ذلك شيئًا. وبعد انتقاده للمثقفين المتنورين أيضًا اعتبر بن صدر نفسه هو والدكتور شريعتي مصداقاً للطريق الوسط الذي لابد من اتباعه. ومما قاله عن المثقفين المتنورين: «إنهم يطرحون ايدلوجية تجاه الهيمنة الكلية للغرب على إيران، تُبَرِّر تلك الهيمنة الغربية بهذه الحجة أو تلك، وتحرس </w:t>
      </w:r>
      <w:r w:rsidRPr="0092648A">
        <w:rPr>
          <w:rStyle w:val="Char"/>
          <w:rFonts w:hint="cs"/>
          <w:rtl/>
        </w:rPr>
        <w:lastRenderedPageBreak/>
        <w:t>المؤسسات التي أوجدها المتسلطون وتحافظ عليها». وقد وصل مقال «</w:t>
      </w:r>
      <w:r w:rsidRPr="0092648A">
        <w:rPr>
          <w:rStyle w:val="Char8"/>
          <w:rFonts w:hint="cs"/>
          <w:rtl/>
        </w:rPr>
        <w:t>در روش</w:t>
      </w:r>
      <w:r w:rsidRPr="0092648A">
        <w:rPr>
          <w:rStyle w:val="Char"/>
          <w:rFonts w:hint="cs"/>
          <w:rtl/>
        </w:rPr>
        <w:t>» [في المنهج] في ذلك الزمن ذاته إلى يد السيد مرتضى مطهري، فكتب نقدًا عليه طُبع فيما بعد كفصل من فصول كتابه «</w:t>
      </w:r>
      <w:r w:rsidR="007C1704">
        <w:rPr>
          <w:rStyle w:val="Char8"/>
          <w:rFonts w:hint="cs"/>
          <w:rtl/>
        </w:rPr>
        <w:t>نهضت‌</w:t>
      </w:r>
      <w:r w:rsidRPr="0092648A">
        <w:rPr>
          <w:rStyle w:val="Char8"/>
          <w:rFonts w:hint="cs"/>
          <w:rtl/>
        </w:rPr>
        <w:t>هاى اسلامى صد ساله اخ</w:t>
      </w:r>
      <w:r w:rsidR="008C7124">
        <w:rPr>
          <w:rStyle w:val="Char8"/>
          <w:rFonts w:hint="cs"/>
          <w:rtl/>
        </w:rPr>
        <w:t>ی</w:t>
      </w:r>
      <w:r w:rsidRPr="0092648A">
        <w:rPr>
          <w:rStyle w:val="Char8"/>
          <w:rFonts w:hint="cs"/>
          <w:rtl/>
        </w:rPr>
        <w:t>ر</w:t>
      </w:r>
      <w:r w:rsidRPr="0092648A">
        <w:rPr>
          <w:rStyle w:val="Char"/>
          <w:rFonts w:hint="cs"/>
          <w:rtl/>
        </w:rPr>
        <w:t>» [الحركات الإسلامية في القرن الرابع عشر الهجري] (صص 56 - 86). وكان نقد مطهري موجهاً بشكل واضح وصريح لانتقاد بني صدر للزعامة التقليدية، وكذلك لنظرية شريعتي المتعلقة بتبدُّل الثورة والحركة إلى مؤسسة.</w:t>
      </w:r>
      <w:r w:rsidRPr="006E28E9">
        <w:rPr>
          <w:rStyle w:val="Char"/>
          <w:rFonts w:ascii="Arabic11 BT" w:hAnsi="Arabic11 BT" w:cs="Arabic11 BT"/>
          <w:vertAlign w:val="superscript"/>
          <w:rtl/>
        </w:rPr>
        <w:footnoteReference w:id="368"/>
      </w:r>
    </w:p>
    <w:p w:rsidR="00DA6CFB" w:rsidRPr="0092648A" w:rsidRDefault="00DA6CFB" w:rsidP="0092648A">
      <w:pPr>
        <w:widowControl w:val="0"/>
        <w:spacing w:line="216" w:lineRule="auto"/>
        <w:ind w:firstLine="284"/>
        <w:jc w:val="both"/>
        <w:rPr>
          <w:rStyle w:val="Char"/>
          <w:rtl/>
        </w:rPr>
      </w:pPr>
      <w:r w:rsidRPr="0092648A">
        <w:rPr>
          <w:rStyle w:val="Char"/>
          <w:rFonts w:hint="cs"/>
          <w:rtl/>
        </w:rPr>
        <w:t>وينبغي أن نقول بشكل عام إن بني صدر كانت له شخصيته الفكرية الخاصة به والمنحصرة بذاته تقريبًا. وقد أدلى بدلوه وكتب في عديد من المجالات مختلفة، فألَّف في العقيدة والاقتصاد والتاريخ السياسي والاقتصادي والأخلاق والعلوم السياسية ومجالات فكرية عديدة أخرى، وقد أظهره هذا التنوع بصورة منظر فكري في السنوات الأولى للثورة.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وينبغي أن نقول بشأن أفكاره إنه على الرغم من أن ظهور مثل هذه الأفكار الغريبة التي نمت نماذج أخرى مماثلة لها، في العرض لا في الطول، في السنوات العشر التي سبقت الثورة، إلا أنه يمكننا أن نرى هذه الاختراعات الفكرية كجزء من الاختراعات الدينية لمجموعات مثل منظمة فرقان ومنظمة مجاهدين خلق، وإلى حد ما الدكتور شريعتي. وبالطبع كان شريعتي ، رغم تجدده ونظرياته الحديثة، أقربهم إلى السنَّة التقليدية، هذا على الرغم من أنه ابتعد بمسافات كبيرة عن المنهج الديني التقليدي الرسمي. لقد قدم بني صدر نوعًا جديدًا من علم الدين هو أفضل مما قدمه شريعتي من حيث التنظيم، وأكثر استنادًا منه إلى آيات القرآن ولكن ما قدمه لم يلقَ قبولاً بين الناس نظرًا إلى غموض كتاباته والارتباك والاضطراب في كتبه والبعد عن التراث التقليدي وعن نسق التفكير التقليدي وإلى استخدامه مصطلحات جديدة مخترعة. فقد وضع مصطلحات دينية عديدة واستخدمها ولكن كل هذه المصطلحات الجديدة زالت اليوم، ولا يوجد أحد يستخدمها.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 بني صدر يستفيد في الظاهر من القرآن أكثر من أي مصدر آخر، لكن عمليًّا كان له استنباطاته الخاصة من الآيات التي تُقْحَم بالقوة ضمن بحثه. وتعتمد استنباطاته، في الغالب، على المهارة في استخدام الألفاظ واختراع الكلمات على نحو مبهم إلى حد ما. وربما أمكن تلخيص النتيجة </w:t>
      </w:r>
      <w:r w:rsidRPr="0092648A">
        <w:rPr>
          <w:rStyle w:val="Char"/>
          <w:rFonts w:hint="cs"/>
          <w:rtl/>
        </w:rPr>
        <w:lastRenderedPageBreak/>
        <w:t>التي تُسْتَنْبَط من كل تلك الآيات ببضعة جمل فقط، ولكن تلاعبه بالألفاظ يصورها بعبارات مختلفة.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وعلى كل حال ففي ذلك الزمن كان هناك كثيرون يتشوقون إلى كلام جديد حول الدين وينتظرون أن يلبيه لهم المُدَّعُون الغربيون والشرقيون، وأن يكون بإمكان هذا الكلام الجديد أن يقدم لهم بديلاً  عن المعتقدات التقليدية ويفتح أمامهم طريقًا جديدًا. كان هذا هو الهدف الذي تسعى وراءه كل نماذج الاختراعات الدينية الجديدة التي كانت تُقَدَّم في تلك الفترة.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على التحليلات الدينية الجديدة في ذلك الزمن أن تُقَدِّم رؤيةً جديدة للعالم تحت عنوان الرؤية الإسلامية للعالم. في هذه الرؤية العالمية يتحدد مكان الله والإنسان والوجود. كانت الفلسفة، ولاسيما موضوع المعرفة، أحد المفاتيح الأصلية لهذا البحث وكان منظرو منظمة مجاهدين خلق والآخرون يقومون ببحث هذا الموضوع.</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كتاب «</w:t>
      </w:r>
      <w:r w:rsidRPr="0092648A">
        <w:rPr>
          <w:rStyle w:val="Char8"/>
          <w:rFonts w:hint="cs"/>
          <w:rtl/>
        </w:rPr>
        <w:t>روش شناخت بر پا</w:t>
      </w:r>
      <w:r w:rsidR="008C7124">
        <w:rPr>
          <w:rStyle w:val="Char8"/>
          <w:rFonts w:hint="cs"/>
          <w:rtl/>
        </w:rPr>
        <w:t>ی</w:t>
      </w:r>
      <w:r w:rsidRPr="0092648A">
        <w:rPr>
          <w:rStyle w:val="Char8"/>
          <w:rFonts w:hint="cs"/>
          <w:rtl/>
        </w:rPr>
        <w:t>ه توح</w:t>
      </w:r>
      <w:r w:rsidR="008C7124">
        <w:rPr>
          <w:rStyle w:val="Char8"/>
          <w:rFonts w:hint="cs"/>
          <w:rtl/>
        </w:rPr>
        <w:t>ی</w:t>
      </w:r>
      <w:r w:rsidRPr="0092648A">
        <w:rPr>
          <w:rStyle w:val="Char8"/>
          <w:rFonts w:hint="cs"/>
          <w:rtl/>
        </w:rPr>
        <w:t>د</w:t>
      </w:r>
      <w:r w:rsidRPr="0092648A">
        <w:rPr>
          <w:rStyle w:val="Char"/>
          <w:rFonts w:hint="cs"/>
          <w:rtl/>
        </w:rPr>
        <w:t>» [منهج المعرفة على أساس التوحيد] كُتَيِّباً صغيراً يقع في 36 صفحة، نُشِر أصله في العدد 16 لمجلة «</w:t>
      </w:r>
      <w:r w:rsidRPr="0092648A">
        <w:rPr>
          <w:rStyle w:val="Char8"/>
          <w:rFonts w:hint="cs"/>
          <w:rtl/>
        </w:rPr>
        <w:t>اسلام م</w:t>
      </w:r>
      <w:r w:rsidR="008C7124">
        <w:rPr>
          <w:rStyle w:val="Char8"/>
          <w:rFonts w:hint="cs"/>
          <w:rtl/>
        </w:rPr>
        <w:t>ک</w:t>
      </w:r>
      <w:r w:rsidRPr="0092648A">
        <w:rPr>
          <w:rStyle w:val="Char8"/>
          <w:rFonts w:hint="cs"/>
          <w:rtl/>
        </w:rPr>
        <w:t>تب مبارز</w:t>
      </w:r>
      <w:r w:rsidRPr="0092648A">
        <w:rPr>
          <w:rStyle w:val="Char"/>
          <w:rFonts w:hint="cs"/>
          <w:rtl/>
        </w:rPr>
        <w:t>»، وتاريخ نشره هو في الاحتمال الغالب سنة 1352 أو 1353 هـ.ش. [1973-1974م]. كان هذا الكُتَيِّب مهمًّا جدًّا بالنسبة إلى بني صدر، وحتى بعد كتابته لكتاب «</w:t>
      </w:r>
      <w:r w:rsidRPr="0092648A">
        <w:rPr>
          <w:rStyle w:val="Char8"/>
          <w:rFonts w:hint="cs"/>
          <w:rtl/>
        </w:rPr>
        <w:t>اصول پا</w:t>
      </w:r>
      <w:r w:rsidR="008C7124">
        <w:rPr>
          <w:rStyle w:val="Char8"/>
          <w:rFonts w:hint="cs"/>
          <w:rtl/>
        </w:rPr>
        <w:t>ی</w:t>
      </w:r>
      <w:r w:rsidRPr="0092648A">
        <w:rPr>
          <w:rStyle w:val="Char8"/>
          <w:rFonts w:hint="cs"/>
          <w:rtl/>
        </w:rPr>
        <w:t>ه و ضابطه‌هاى ح</w:t>
      </w:r>
      <w:r w:rsidR="008C7124">
        <w:rPr>
          <w:rStyle w:val="Char8"/>
          <w:rFonts w:hint="cs"/>
          <w:rtl/>
        </w:rPr>
        <w:t>ک</w:t>
      </w:r>
      <w:r w:rsidRPr="0092648A">
        <w:rPr>
          <w:rStyle w:val="Char8"/>
          <w:rFonts w:hint="cs"/>
          <w:rtl/>
        </w:rPr>
        <w:t>ومت اسلامى</w:t>
      </w:r>
      <w:r w:rsidRPr="0092648A">
        <w:rPr>
          <w:rStyle w:val="Char"/>
          <w:rFonts w:hint="cs"/>
          <w:rtl/>
        </w:rPr>
        <w:t>» [الأصول الأساسية وضوابط الحكومة الإسلامية] أوصى في مقدمته بأنه لابد في البداية من قراءة كتاب «</w:t>
      </w:r>
      <w:r w:rsidRPr="0092648A">
        <w:rPr>
          <w:rStyle w:val="Char8"/>
          <w:rFonts w:hint="cs"/>
          <w:rtl/>
        </w:rPr>
        <w:t>روش شناخت</w:t>
      </w:r>
      <w:r w:rsidRPr="0092648A">
        <w:rPr>
          <w:rStyle w:val="Char"/>
          <w:rFonts w:hint="cs"/>
          <w:rtl/>
        </w:rPr>
        <w:t>» [منهج المعرفة]. كان تفسيره في هذه المقالة وما قاله حول البعثة وغيرها من أصول الدين تفسير جديد واجتماعي تمامًا وفي الحقيقة تفسير غير ديني.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قام بني صدر في هذا الكُتَيِّب بشرح مفهوم التوحيد وقدم تفسيرات لا يمكن مقارنتها إلا بتلفيقات واختراعات أتباع منظمة فرقان. منذ بداية الكتاب، بَيَّن أن «التوحيد الذي هو الأصل والمبدأ الأساسي والأول والركن الأساسي للنظام الإسلامي هو وبقية الأصول العقائدية الأربعة الأخرى</w:t>
      </w:r>
      <w:r w:rsidRPr="006E28E9">
        <w:rPr>
          <w:rStyle w:val="Char"/>
          <w:rFonts w:ascii="Arabic11 BT" w:hAnsi="Arabic11 BT" w:cs="Arabic11 BT"/>
          <w:vertAlign w:val="superscript"/>
          <w:rtl/>
        </w:rPr>
        <w:footnoteReference w:id="369"/>
      </w:r>
      <w:r w:rsidRPr="0092648A">
        <w:rPr>
          <w:rStyle w:val="Char"/>
          <w:rFonts w:hint="cs"/>
          <w:rtl/>
        </w:rPr>
        <w:t xml:space="preserve"> تمثل قوانين عامة تطيعها كل الظواهر». تأكيده على تفسير «التوحيد» بوصفه «قانونًا» من قوانين الوجود هو من آثار نظرته العلمية. وبعد قليل يقول: «التوحيد قانون الوجود». ويواصل ذلك مؤكدًا من جديد: «التوحيد هو قانون نظام الوجود للحركة نحو الكمال والحركة للوصول إلى النظام الأكمل». ومن العبارات الأخرى التي تم التأكيد عليها في هذا الكُتَيِّب: «التوحيد: هو الأصل والقانون العام الذي يحكم البقاء على الهوية الواحدة»، «التوحيد، قانون عام للحركة في </w:t>
      </w:r>
      <w:r w:rsidRPr="0092648A">
        <w:rPr>
          <w:rStyle w:val="Char"/>
          <w:rFonts w:hint="cs"/>
          <w:rtl/>
        </w:rPr>
        <w:lastRenderedPageBreak/>
        <w:t>النظام، وما لم ينشأ نظام عن توحيد الأجزاء في هوية واحدة، فلن توجد الحركة». «التوحيد هو القانون العام لإيجاد القوى ونشأة نتائج القوى وطريقة عملها»، «التوحيد قانون عام للحركة في الطريق المستقيم نحو الحياة والعيش طبقاً للفطرة».</w:t>
      </w:r>
      <w:r w:rsidRPr="006E28E9">
        <w:rPr>
          <w:rStyle w:val="Char"/>
          <w:rFonts w:ascii="Arabic11 BT" w:hAnsi="Arabic11 BT" w:cs="Arabic11 BT"/>
          <w:vertAlign w:val="superscript"/>
          <w:rtl/>
        </w:rPr>
        <w:footnoteReference w:id="370"/>
      </w:r>
      <w:r w:rsidRPr="0092648A">
        <w:rPr>
          <w:rStyle w:val="Char"/>
          <w:rFonts w:hint="cs"/>
          <w:rtl/>
        </w:rPr>
        <w:t xml:space="preserve"> هذا التفسير معناه أن التوحيد يعني جعل الأشياء المتعددة شيئاً واحداً وليس معناه اعتبارها شيئًا واحدًا.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ويصف بني صدر أيضًا موضوع البعثة الذي هو الأصل الثاني من أصول الدين بأنه «القانون العام الثاني الذي تتبعه جميع الظواهر في تكوينها ووجودها». وهو يرى «أن البعثة الإسلامية قانون النظام الكامل، نظام الحياة، نظام التوحيد». وإذا كان التوحيد معناه تنسيق أجزاء النظام فإن البعثة معناها الخطة التي تقوم بها المجموعة الموجِدة للتنسيق، وهذه هي البعثة. ويقول: «لكي توجَدَ قوّةٌ ثوريّةٌ، لابد أن توجدَ مجموعةٌ من الرجال تميل درجة إدغامهم ودمجهم بعضهم ببعض إلى مئة بالمئة، وتكون روابطهم على نحو لا تؤدي إلى تهدم القوى في اصطدامها فيما بينها... وفي كلمة واحدة هي سير المجتمع في طريق العودة إلى الفطرة والعودة إلى الذات».</w:t>
      </w:r>
      <w:r w:rsidRPr="006E28E9">
        <w:rPr>
          <w:rStyle w:val="Char"/>
          <w:rFonts w:ascii="Arabic11 BT" w:hAnsi="Arabic11 BT" w:cs="Arabic11 BT"/>
          <w:vertAlign w:val="superscript"/>
          <w:rtl/>
        </w:rPr>
        <w:footnoteReference w:id="371"/>
      </w:r>
    </w:p>
    <w:p w:rsidR="00DA6CFB" w:rsidRPr="0092648A" w:rsidRDefault="00DA6CFB" w:rsidP="0092648A">
      <w:pPr>
        <w:widowControl w:val="0"/>
        <w:spacing w:line="216" w:lineRule="auto"/>
        <w:ind w:firstLine="284"/>
        <w:jc w:val="both"/>
        <w:rPr>
          <w:rStyle w:val="Char"/>
        </w:rPr>
      </w:pPr>
      <w:r w:rsidRPr="0092648A">
        <w:rPr>
          <w:rStyle w:val="Char"/>
          <w:rFonts w:hint="cs"/>
          <w:rtl/>
        </w:rPr>
        <w:t>يهدف هذا التلفيق والاختراع للجُمل إلى صناعة قوة ثورية ونضالية، وهو في الواقع مواصلة لتلك الحركة التي كانت قد بدأت تفسِّر الدين على نحو يسوقه باتجاه النضال والثورة، وبعبارة أخرى هو تفسير للدين على أنه مفهوم اجتماعي يهدف إلى زيادة فعالية المجتمع وأفراده، بهدف النضال والثورة. والتوحيد يعني التنسيق بين الأجزاء المختلفة وإعطاء هوية موحدة للمجتمع، والبعثة أيضًا تعني الاستفادة من الأشخاص الذين يمكن إدغامهم وصهرهم بعضهم ببعض بدرجة مئة في المئة.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وأما معنى كون دين الإسلام دين فطري فهو أن: «الإسلام نظام مؤسس على أساس قوانين عامة»، وفي هذا الصعيد فإن البعثة أيضًا هي: تغيير جهة الشرك وعدم المساواة والعبودية إلى التوحيد، والتقدم في هذا الاتجاه في صراط مستقيم عادل»</w:t>
      </w:r>
      <w:r w:rsidRPr="006E28E9">
        <w:rPr>
          <w:rStyle w:val="Char"/>
          <w:rFonts w:ascii="Arabic11 BT" w:hAnsi="Arabic11 BT" w:cs="Arabic11 BT"/>
          <w:vertAlign w:val="superscript"/>
          <w:rtl/>
        </w:rPr>
        <w:footnoteReference w:id="372"/>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أما الأصل التالي من أصول الدين، أي الإمامة، فهي بمعنى أن «الإمام والرائد هو نتيجة وثمرة لقوى المجتمع الحرّ، والإمامة هي حيوية التوحيد ومرونته وتحركه». «الإمامة حيوية البعثة وحركتها»، والعدل «طريق العدل المستقيم هو طريق التوحيد»، وفي النتيجة «وجهة الإمامة </w:t>
      </w:r>
      <w:r w:rsidRPr="0092648A">
        <w:rPr>
          <w:rStyle w:val="Char"/>
          <w:rFonts w:hint="cs"/>
          <w:rtl/>
        </w:rPr>
        <w:lastRenderedPageBreak/>
        <w:t>الإسلامية وهدفها القيادي هو الوصول إلى الهوية الواحدة، إلى التوحيد. ومسيرتها هي خط العدل المستقيم، في حين أن وجهة ومقصد زعامة إمامة الشِرك هو الهويات المتضادة»</w:t>
      </w:r>
      <w:r w:rsidRPr="006E28E9">
        <w:rPr>
          <w:rStyle w:val="Char"/>
          <w:rFonts w:ascii="Arabic11 BT" w:hAnsi="Arabic11 BT" w:cs="Arabic11 BT"/>
          <w:vertAlign w:val="superscript"/>
          <w:rtl/>
        </w:rPr>
        <w:footnoteReference w:id="373"/>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والمعاد أيضًا هو تكميل لعملية تحديد وجهة الأجزاء والثواب، وباختصار «كل ظاهرة في الطبيعة والفطرة هي في ذاتها تتجه نحو التوحيد وهدف الخليقة هو التوحيد، وفي كل تركيب وكل اجتماع أيضًا الهدف هو الوصول إلى هوية جديدة أكثر حياةً وأكثر دواماً. ولما كانت الظواهر القابلة للتركيب تسعى سعيًا حثيثًا إلى اتصال بعضها ببعض، فإن طاقة حياتها تقل وتتضاءل، وتزداد طاقتها الحياتية من خلال تركيبها ووصولها إلى الهوية الجديدة الواحدة، وبالنتيجة تقل درجة قابليتها للموت، في تلك الثورة الأخيرة سوف يصبح التغيير قطعياً وغير قابل للعودة. إن نهاية كل حركة هي الوصول، إلى هوية واحدة، إلى توحيد واحد. والمعاد هو ميعاد التوحيد وتجلي المجتمع التوحيدي الأرفع»</w:t>
      </w:r>
      <w:r w:rsidRPr="006E28E9">
        <w:rPr>
          <w:rStyle w:val="Char"/>
          <w:rFonts w:ascii="Arabic11 BT" w:hAnsi="Arabic11 BT" w:cs="Arabic11 BT"/>
          <w:vertAlign w:val="superscript"/>
          <w:rtl/>
        </w:rPr>
        <w:footnoteReference w:id="374"/>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البعثة الدائمة وتعميم الإمامة، عنوانان لكتابين آخرين لبني صدر، وهما يمثلان نوعًا من السعي إلى الاستفادة من المفاهيم الدينية المقدسة بهدف إحداث التحولات الاجتماعية التي يريدها. في رأيه البعثة الدائمة هي الثورة التحررية ذاتها. </w:t>
      </w:r>
    </w:p>
    <w:p w:rsidR="00DA6CFB" w:rsidRPr="0092648A" w:rsidRDefault="00DA6CFB" w:rsidP="0092648A">
      <w:pPr>
        <w:widowControl w:val="0"/>
        <w:spacing w:line="216" w:lineRule="auto"/>
        <w:ind w:firstLine="284"/>
        <w:jc w:val="both"/>
        <w:rPr>
          <w:rStyle w:val="Char"/>
          <w:rtl/>
        </w:rPr>
      </w:pPr>
      <w:r w:rsidRPr="0092648A">
        <w:rPr>
          <w:rStyle w:val="Char"/>
          <w:rFonts w:hint="cs"/>
          <w:rtl/>
        </w:rPr>
        <w:t>أساسًا فإن هذا التلاعب بالكلمات الذي كان شائعاً في الكتابات الصادرة في السنوات العشر السابقة للثورة، شمل جميع المفاهيم الدينية، فمثلاً كتب بني صدر في كتابه «</w:t>
      </w:r>
      <w:r w:rsidRPr="0092648A">
        <w:rPr>
          <w:rStyle w:val="Char8"/>
          <w:rFonts w:hint="cs"/>
          <w:rtl/>
        </w:rPr>
        <w:t>در روش</w:t>
      </w:r>
      <w:r w:rsidRPr="0092648A">
        <w:rPr>
          <w:rStyle w:val="Char"/>
          <w:rFonts w:hint="cs"/>
          <w:rtl/>
        </w:rPr>
        <w:t>» [في المنهج] يقول: «إن المجاهد يبحث بشكل دائم عن التوحيد، عن الصداقة مع الآخر، يبحث عن البناء، ولكن على أساس وحدة الهوية».</w:t>
      </w:r>
    </w:p>
    <w:p w:rsidR="00DA6CFB" w:rsidRPr="0092648A" w:rsidRDefault="00DA6CFB" w:rsidP="007C1704">
      <w:pPr>
        <w:widowControl w:val="0"/>
        <w:spacing w:line="216" w:lineRule="auto"/>
        <w:ind w:firstLine="284"/>
        <w:jc w:val="both"/>
        <w:rPr>
          <w:rStyle w:val="Char"/>
          <w:rtl/>
        </w:rPr>
      </w:pPr>
      <w:r w:rsidRPr="0092648A">
        <w:rPr>
          <w:rStyle w:val="Char"/>
          <w:rFonts w:hint="cs"/>
          <w:rtl/>
        </w:rPr>
        <w:t>لقد ذكرنا هذه النماذج المعدودة كمثال فقط. واستنباطات بني صدر القرآنية بعيدة جدًّا أحيانًا عن المعنى الحقيقي للآيات، وبعبارة أخرى، أحيانا تكون استنباطاته خاطئة تمامًا ولا علاقة لها بالنص من قريب ولا من بعيد فمثلاً، حول آية</w:t>
      </w:r>
      <w:r w:rsidR="007C1704">
        <w:rPr>
          <w:rStyle w:val="Char"/>
          <w:rFonts w:hint="cs"/>
          <w:rtl/>
        </w:rPr>
        <w:t xml:space="preserve"> </w:t>
      </w:r>
      <w:r w:rsidR="007C1704">
        <w:rPr>
          <w:rStyle w:val="Char"/>
          <w:rFonts w:cs="CTraditional Arabic" w:hint="cs"/>
          <w:rtl/>
        </w:rPr>
        <w:t>﴿</w:t>
      </w:r>
      <w:r w:rsidR="007C1704" w:rsidRPr="007C1704">
        <w:rPr>
          <w:rStyle w:val="Char1"/>
          <w:rFonts w:hint="cs"/>
          <w:rtl/>
        </w:rPr>
        <w:t>بَلۡ</w:t>
      </w:r>
      <w:r w:rsidR="007C1704" w:rsidRPr="007C1704">
        <w:rPr>
          <w:rStyle w:val="Char1"/>
          <w:rtl/>
        </w:rPr>
        <w:t xml:space="preserve"> </w:t>
      </w:r>
      <w:r w:rsidR="007C1704" w:rsidRPr="007C1704">
        <w:rPr>
          <w:rStyle w:val="Char1"/>
          <w:rFonts w:hint="cs"/>
          <w:rtl/>
        </w:rPr>
        <w:t>يُرِيدُ</w:t>
      </w:r>
      <w:r w:rsidR="007C1704" w:rsidRPr="007C1704">
        <w:rPr>
          <w:rStyle w:val="Char1"/>
          <w:rtl/>
        </w:rPr>
        <w:t xml:space="preserve"> </w:t>
      </w:r>
      <w:r w:rsidR="007C1704" w:rsidRPr="007C1704">
        <w:rPr>
          <w:rStyle w:val="Char1"/>
          <w:rFonts w:hint="cs"/>
          <w:rtl/>
        </w:rPr>
        <w:t>ٱلۡإِنسَٰنُ</w:t>
      </w:r>
      <w:r w:rsidR="007C1704" w:rsidRPr="007C1704">
        <w:rPr>
          <w:rStyle w:val="Char1"/>
          <w:rtl/>
        </w:rPr>
        <w:t xml:space="preserve"> </w:t>
      </w:r>
      <w:r w:rsidR="007C1704" w:rsidRPr="007C1704">
        <w:rPr>
          <w:rStyle w:val="Char1"/>
          <w:rFonts w:hint="cs"/>
          <w:rtl/>
        </w:rPr>
        <w:t>لِيَفۡجُرَ</w:t>
      </w:r>
      <w:r w:rsidR="007C1704" w:rsidRPr="007C1704">
        <w:rPr>
          <w:rStyle w:val="Char1"/>
          <w:rtl/>
        </w:rPr>
        <w:t xml:space="preserve"> </w:t>
      </w:r>
      <w:r w:rsidR="007C1704" w:rsidRPr="007C1704">
        <w:rPr>
          <w:rStyle w:val="Char1"/>
          <w:rFonts w:hint="cs"/>
          <w:rtl/>
        </w:rPr>
        <w:t>أَمَامَهُۥ</w:t>
      </w:r>
      <w:r w:rsidR="007C1704" w:rsidRPr="007C1704">
        <w:rPr>
          <w:rStyle w:val="Char1"/>
          <w:rtl/>
        </w:rPr>
        <w:t xml:space="preserve"> </w:t>
      </w:r>
      <w:r w:rsidR="007C1704" w:rsidRPr="007C1704">
        <w:rPr>
          <w:rStyle w:val="Char1"/>
          <w:rFonts w:hint="cs"/>
          <w:rtl/>
        </w:rPr>
        <w:t>٥</w:t>
      </w:r>
      <w:r w:rsidR="007C1704">
        <w:rPr>
          <w:rStyle w:val="Char"/>
          <w:rFonts w:ascii="Traditional Arabic" w:hAnsi="Traditional Arabic" w:cs="Traditional Arabic"/>
          <w:rtl/>
        </w:rPr>
        <w:t>﴾</w:t>
      </w:r>
      <w:r w:rsidRPr="0092648A">
        <w:rPr>
          <w:rStyle w:val="Char"/>
          <w:rFonts w:hint="cs"/>
          <w:rtl/>
        </w:rPr>
        <w:t xml:space="preserve"> </w:t>
      </w:r>
      <w:r w:rsidR="007C1704" w:rsidRPr="007C1704">
        <w:rPr>
          <w:rStyle w:val="Char3"/>
          <w:rFonts w:hint="cs"/>
          <w:rtl/>
        </w:rPr>
        <w:t>[القيامة:</w:t>
      </w:r>
      <w:r w:rsidRPr="007C1704">
        <w:rPr>
          <w:rStyle w:val="Char3"/>
          <w:rFonts w:hint="cs"/>
          <w:rtl/>
        </w:rPr>
        <w:t xml:space="preserve">5] </w:t>
      </w:r>
      <w:r w:rsidRPr="0092648A">
        <w:rPr>
          <w:rStyle w:val="Char"/>
          <w:rFonts w:hint="cs"/>
          <w:rtl/>
        </w:rPr>
        <w:t xml:space="preserve">يقول: « يسعى الإنسان ويرغب بأن يفتح سبيل تقدمه إلى الأمام». ثم يقول في تفسير الآية أيضًا: «إن الإمامة، كالبعثة، مبدأ عام، أي أننا عندما نبحث كلنا، في ذلك النظام، عن طريق التوحيد، فإننا نكون رُوَّاد البعثة التوحيدية، يقول القرآن: </w:t>
      </w:r>
      <w:r w:rsidR="007C1704">
        <w:rPr>
          <w:rStyle w:val="Char"/>
          <w:rFonts w:cs="CTraditional Arabic" w:hint="cs"/>
          <w:rtl/>
        </w:rPr>
        <w:t>﴿</w:t>
      </w:r>
      <w:r w:rsidR="007C1704" w:rsidRPr="007C1704">
        <w:rPr>
          <w:rStyle w:val="Char1"/>
          <w:rFonts w:hint="cs"/>
          <w:rtl/>
        </w:rPr>
        <w:t>بَلۡ</w:t>
      </w:r>
      <w:r w:rsidR="007C1704" w:rsidRPr="007C1704">
        <w:rPr>
          <w:rStyle w:val="Char1"/>
          <w:rtl/>
        </w:rPr>
        <w:t xml:space="preserve"> </w:t>
      </w:r>
      <w:r w:rsidR="007C1704" w:rsidRPr="007C1704">
        <w:rPr>
          <w:rStyle w:val="Char1"/>
          <w:rFonts w:hint="cs"/>
          <w:rtl/>
        </w:rPr>
        <w:t>يُرِيدُ</w:t>
      </w:r>
      <w:r w:rsidR="007C1704" w:rsidRPr="007C1704">
        <w:rPr>
          <w:rStyle w:val="Char1"/>
          <w:rtl/>
        </w:rPr>
        <w:t xml:space="preserve"> </w:t>
      </w:r>
      <w:r w:rsidR="007C1704" w:rsidRPr="007C1704">
        <w:rPr>
          <w:rStyle w:val="Char1"/>
          <w:rFonts w:hint="cs"/>
          <w:rtl/>
        </w:rPr>
        <w:t>ٱلۡإِنسَٰنُ</w:t>
      </w:r>
      <w:r w:rsidR="007C1704" w:rsidRPr="007C1704">
        <w:rPr>
          <w:rStyle w:val="Char1"/>
          <w:rtl/>
        </w:rPr>
        <w:t xml:space="preserve"> </w:t>
      </w:r>
      <w:r w:rsidR="007C1704" w:rsidRPr="007C1704">
        <w:rPr>
          <w:rStyle w:val="Char1"/>
          <w:rFonts w:hint="cs"/>
          <w:rtl/>
        </w:rPr>
        <w:t>لِيَفۡجُرَ</w:t>
      </w:r>
      <w:r w:rsidR="007C1704" w:rsidRPr="007C1704">
        <w:rPr>
          <w:rStyle w:val="Char1"/>
          <w:rtl/>
        </w:rPr>
        <w:t xml:space="preserve"> </w:t>
      </w:r>
      <w:r w:rsidR="007C1704" w:rsidRPr="007C1704">
        <w:rPr>
          <w:rStyle w:val="Char1"/>
          <w:rFonts w:hint="cs"/>
          <w:rtl/>
        </w:rPr>
        <w:t>أَمَامَهُۥ</w:t>
      </w:r>
      <w:r w:rsidR="007C1704" w:rsidRPr="007C1704">
        <w:rPr>
          <w:rStyle w:val="Char1"/>
          <w:rtl/>
        </w:rPr>
        <w:t xml:space="preserve"> </w:t>
      </w:r>
      <w:r w:rsidR="007C1704" w:rsidRPr="007C1704">
        <w:rPr>
          <w:rStyle w:val="Char1"/>
          <w:rFonts w:hint="cs"/>
          <w:rtl/>
        </w:rPr>
        <w:t>٥</w:t>
      </w:r>
      <w:r w:rsidR="007C1704">
        <w:rPr>
          <w:rStyle w:val="Char"/>
          <w:rFonts w:ascii="Traditional Arabic" w:hAnsi="Traditional Arabic" w:cs="Traditional Arabic"/>
          <w:rtl/>
        </w:rPr>
        <w:t>﴾</w:t>
      </w:r>
      <w:r w:rsidRPr="0092648A">
        <w:rPr>
          <w:rStyle w:val="Char"/>
          <w:rFonts w:hint="cs"/>
          <w:rtl/>
        </w:rPr>
        <w:t>».</w:t>
      </w:r>
      <w:r w:rsidRPr="006E28E9">
        <w:rPr>
          <w:rStyle w:val="Char"/>
          <w:rFonts w:ascii="Arabic11 BT" w:hAnsi="Arabic11 BT" w:cs="Arabic11 BT"/>
          <w:vertAlign w:val="superscript"/>
          <w:rtl/>
        </w:rPr>
        <w:footnoteReference w:id="375"/>
      </w:r>
    </w:p>
    <w:p w:rsidR="00DA6CFB" w:rsidRPr="0092648A" w:rsidRDefault="00DA6CFB" w:rsidP="007C1704">
      <w:pPr>
        <w:widowControl w:val="0"/>
        <w:spacing w:before="240" w:line="216" w:lineRule="auto"/>
        <w:ind w:firstLine="284"/>
        <w:jc w:val="both"/>
        <w:rPr>
          <w:rStyle w:val="Char"/>
          <w:rtl/>
        </w:rPr>
      </w:pPr>
      <w:r w:rsidRPr="0092648A">
        <w:rPr>
          <w:rStyle w:val="Char"/>
          <w:rFonts w:hint="cs"/>
          <w:rtl/>
        </w:rPr>
        <w:lastRenderedPageBreak/>
        <w:t>ويقول في موضع آخر أيضًا حول آية:</w:t>
      </w:r>
      <w:r w:rsidR="007C1704">
        <w:rPr>
          <w:rStyle w:val="Char"/>
          <w:rFonts w:hint="cs"/>
          <w:rtl/>
        </w:rPr>
        <w:t xml:space="preserve"> </w:t>
      </w:r>
      <w:r w:rsidR="007C1704">
        <w:rPr>
          <w:rStyle w:val="Char"/>
          <w:rFonts w:cs="CTraditional Arabic" w:hint="cs"/>
          <w:rtl/>
        </w:rPr>
        <w:t>﴿</w:t>
      </w:r>
      <w:r w:rsidR="007C1704" w:rsidRPr="007C1704">
        <w:rPr>
          <w:rStyle w:val="Char1"/>
          <w:rFonts w:hint="cs"/>
          <w:rtl/>
        </w:rPr>
        <w:t>لَا</w:t>
      </w:r>
      <w:r w:rsidR="007C1704" w:rsidRPr="007C1704">
        <w:rPr>
          <w:rStyle w:val="Char1"/>
          <w:rtl/>
        </w:rPr>
        <w:t xml:space="preserve"> </w:t>
      </w:r>
      <w:r w:rsidR="007C1704" w:rsidRPr="007C1704">
        <w:rPr>
          <w:rStyle w:val="Char1"/>
          <w:rFonts w:hint="cs"/>
          <w:rtl/>
        </w:rPr>
        <w:t>تَقۡفُ</w:t>
      </w:r>
      <w:r w:rsidR="007C1704" w:rsidRPr="007C1704">
        <w:rPr>
          <w:rStyle w:val="Char1"/>
          <w:rtl/>
        </w:rPr>
        <w:t xml:space="preserve"> </w:t>
      </w:r>
      <w:r w:rsidR="007C1704" w:rsidRPr="007C1704">
        <w:rPr>
          <w:rStyle w:val="Char1"/>
          <w:rFonts w:hint="cs"/>
          <w:rtl/>
        </w:rPr>
        <w:t>مَا</w:t>
      </w:r>
      <w:r w:rsidR="007C1704" w:rsidRPr="007C1704">
        <w:rPr>
          <w:rStyle w:val="Char1"/>
          <w:rtl/>
        </w:rPr>
        <w:t xml:space="preserve"> </w:t>
      </w:r>
      <w:r w:rsidR="007C1704" w:rsidRPr="007C1704">
        <w:rPr>
          <w:rStyle w:val="Char1"/>
          <w:rFonts w:hint="cs"/>
          <w:rtl/>
        </w:rPr>
        <w:t>لَيۡسَ</w:t>
      </w:r>
      <w:r w:rsidR="007C1704" w:rsidRPr="007C1704">
        <w:rPr>
          <w:rStyle w:val="Char1"/>
          <w:rtl/>
        </w:rPr>
        <w:t xml:space="preserve"> </w:t>
      </w:r>
      <w:r w:rsidR="007C1704" w:rsidRPr="007C1704">
        <w:rPr>
          <w:rStyle w:val="Char1"/>
          <w:rFonts w:hint="cs"/>
          <w:rtl/>
        </w:rPr>
        <w:t>لَكَ</w:t>
      </w:r>
      <w:r w:rsidR="007C1704" w:rsidRPr="007C1704">
        <w:rPr>
          <w:rStyle w:val="Char1"/>
          <w:rtl/>
        </w:rPr>
        <w:t xml:space="preserve"> </w:t>
      </w:r>
      <w:r w:rsidR="007C1704" w:rsidRPr="007C1704">
        <w:rPr>
          <w:rStyle w:val="Char1"/>
          <w:rFonts w:hint="cs"/>
          <w:rtl/>
        </w:rPr>
        <w:t>بِهِۦ</w:t>
      </w:r>
      <w:r w:rsidR="007C1704" w:rsidRPr="007C1704">
        <w:rPr>
          <w:rStyle w:val="Char1"/>
          <w:rtl/>
        </w:rPr>
        <w:t xml:space="preserve"> </w:t>
      </w:r>
      <w:r w:rsidR="007C1704" w:rsidRPr="007C1704">
        <w:rPr>
          <w:rStyle w:val="Char1"/>
          <w:rFonts w:hint="cs"/>
          <w:rtl/>
        </w:rPr>
        <w:t>عِلۡمٌ</w:t>
      </w:r>
      <w:r w:rsidR="007C1704">
        <w:rPr>
          <w:rStyle w:val="Char"/>
          <w:rFonts w:ascii="Traditional Arabic" w:hAnsi="Traditional Arabic" w:cs="Traditional Arabic"/>
          <w:rtl/>
        </w:rPr>
        <w:t>﴾</w:t>
      </w:r>
      <w:r w:rsidR="007C1704">
        <w:rPr>
          <w:rStyle w:val="Char"/>
          <w:rFonts w:hint="cs"/>
          <w:rtl/>
        </w:rPr>
        <w:t xml:space="preserve"> </w:t>
      </w:r>
      <w:r w:rsidRPr="0092648A">
        <w:rPr>
          <w:rStyle w:val="Char"/>
          <w:rFonts w:hint="cs"/>
          <w:rtl/>
        </w:rPr>
        <w:t xml:space="preserve"> </w:t>
      </w:r>
      <w:r w:rsidR="007C1704">
        <w:rPr>
          <w:rStyle w:val="Char"/>
          <w:rFonts w:hint="cs"/>
          <w:rtl/>
        </w:rPr>
        <w:t xml:space="preserve"> </w:t>
      </w:r>
      <w:r w:rsidR="007C1704" w:rsidRPr="007C1704">
        <w:rPr>
          <w:rStyle w:val="Char3"/>
          <w:rFonts w:hint="cs"/>
          <w:rtl/>
        </w:rPr>
        <w:t xml:space="preserve">[الإسراء: </w:t>
      </w:r>
      <w:r w:rsidRPr="007C1704">
        <w:rPr>
          <w:rStyle w:val="Char3"/>
          <w:rFonts w:hint="cs"/>
          <w:rtl/>
        </w:rPr>
        <w:t>36]:</w:t>
      </w:r>
      <w:r w:rsidRPr="0092648A">
        <w:rPr>
          <w:rStyle w:val="Char"/>
          <w:rFonts w:hint="cs"/>
          <w:rtl/>
        </w:rPr>
        <w:t xml:space="preserve"> «حيثما لم يكن لديك علم بأمرٍ ما، فلا تَقِفْ، بل اذهب واطلب العلم!». والعبادة التي جاءت في قوله تعالى:</w:t>
      </w:r>
      <w:r w:rsidR="007C1704">
        <w:rPr>
          <w:rStyle w:val="Char"/>
          <w:rFonts w:hint="cs"/>
          <w:rtl/>
        </w:rPr>
        <w:t xml:space="preserve"> </w:t>
      </w:r>
      <w:r w:rsidR="007C1704">
        <w:rPr>
          <w:rStyle w:val="Char"/>
          <w:rFonts w:cs="CTraditional Arabic" w:hint="cs"/>
          <w:rtl/>
        </w:rPr>
        <w:t>﴿</w:t>
      </w:r>
      <w:r w:rsidR="007C1704" w:rsidRPr="007C1704">
        <w:rPr>
          <w:rStyle w:val="Char1"/>
          <w:rFonts w:hint="cs"/>
          <w:rtl/>
        </w:rPr>
        <w:t>وَٱعۡبُدۡ</w:t>
      </w:r>
      <w:r w:rsidR="007C1704" w:rsidRPr="007C1704">
        <w:rPr>
          <w:rStyle w:val="Char1"/>
          <w:rtl/>
        </w:rPr>
        <w:t xml:space="preserve"> </w:t>
      </w:r>
      <w:r w:rsidR="007C1704" w:rsidRPr="007C1704">
        <w:rPr>
          <w:rStyle w:val="Char1"/>
          <w:rFonts w:hint="cs"/>
          <w:rtl/>
        </w:rPr>
        <w:t>رَبَّكَ</w:t>
      </w:r>
      <w:r w:rsidR="007C1704" w:rsidRPr="007C1704">
        <w:rPr>
          <w:rStyle w:val="Char1"/>
          <w:rtl/>
        </w:rPr>
        <w:t xml:space="preserve"> </w:t>
      </w:r>
      <w:r w:rsidR="007C1704" w:rsidRPr="007C1704">
        <w:rPr>
          <w:rStyle w:val="Char1"/>
          <w:rFonts w:hint="cs"/>
          <w:rtl/>
        </w:rPr>
        <w:t>حَتَّىٰ</w:t>
      </w:r>
      <w:r w:rsidR="007C1704" w:rsidRPr="007C1704">
        <w:rPr>
          <w:rStyle w:val="Char1"/>
          <w:rtl/>
        </w:rPr>
        <w:t xml:space="preserve"> </w:t>
      </w:r>
      <w:r w:rsidR="007C1704" w:rsidRPr="007C1704">
        <w:rPr>
          <w:rStyle w:val="Char1"/>
          <w:rFonts w:hint="cs"/>
          <w:rtl/>
        </w:rPr>
        <w:t>يَأۡتِيَكَ</w:t>
      </w:r>
      <w:r w:rsidR="007C1704" w:rsidRPr="007C1704">
        <w:rPr>
          <w:rStyle w:val="Char1"/>
          <w:rtl/>
        </w:rPr>
        <w:t xml:space="preserve"> </w:t>
      </w:r>
      <w:r w:rsidR="007C1704" w:rsidRPr="007C1704">
        <w:rPr>
          <w:rStyle w:val="Char1"/>
          <w:rFonts w:hint="cs"/>
          <w:rtl/>
        </w:rPr>
        <w:t>ٱلۡيَقِينُ</w:t>
      </w:r>
      <w:r w:rsidR="007C1704" w:rsidRPr="007C1704">
        <w:rPr>
          <w:rStyle w:val="Char1"/>
          <w:rtl/>
        </w:rPr>
        <w:t xml:space="preserve"> </w:t>
      </w:r>
      <w:r w:rsidR="007C1704" w:rsidRPr="007C1704">
        <w:rPr>
          <w:rStyle w:val="Char1"/>
          <w:rFonts w:hint="cs"/>
          <w:rtl/>
        </w:rPr>
        <w:t>٩٩</w:t>
      </w:r>
      <w:r w:rsidR="007C1704">
        <w:rPr>
          <w:rStyle w:val="Char"/>
          <w:rFonts w:ascii="Traditional Arabic" w:hAnsi="Traditional Arabic" w:cs="Traditional Arabic"/>
          <w:rtl/>
        </w:rPr>
        <w:t>﴾</w:t>
      </w:r>
      <w:r w:rsidR="007C1704">
        <w:rPr>
          <w:rStyle w:val="Char"/>
          <w:rFonts w:hint="cs"/>
          <w:rtl/>
        </w:rPr>
        <w:t xml:space="preserve"> </w:t>
      </w:r>
      <w:r w:rsidRPr="007C1704">
        <w:rPr>
          <w:rStyle w:val="Char3"/>
          <w:rFonts w:hint="cs"/>
          <w:rtl/>
        </w:rPr>
        <w:t xml:space="preserve"> </w:t>
      </w:r>
      <w:r w:rsidR="007C1704" w:rsidRPr="007C1704">
        <w:rPr>
          <w:rStyle w:val="Char3"/>
          <w:rFonts w:hint="cs"/>
          <w:rtl/>
        </w:rPr>
        <w:t xml:space="preserve">[الحجر: </w:t>
      </w:r>
      <w:r w:rsidRPr="007C1704">
        <w:rPr>
          <w:rStyle w:val="Char3"/>
          <w:rFonts w:hint="cs"/>
          <w:rtl/>
        </w:rPr>
        <w:t xml:space="preserve">99] </w:t>
      </w:r>
      <w:r w:rsidRPr="0092648A">
        <w:rPr>
          <w:rStyle w:val="Char"/>
          <w:rFonts w:hint="cs"/>
          <w:rtl/>
        </w:rPr>
        <w:t>هي في نظره النضال والكفاح، لذا يقول عن الآية: «إن النضال العظيم والشامل والمتواصل حتى بلوغ اليقين هو سنة الله التي لا تبديل لها، لقد خلق الله آدم مناضلاً وأرسله لأجل النضال».</w:t>
      </w:r>
      <w:r w:rsidRPr="006E28E9">
        <w:rPr>
          <w:rStyle w:val="Char"/>
          <w:rFonts w:ascii="Arabic11 BT" w:hAnsi="Arabic11 BT" w:cs="Arabic11 BT"/>
          <w:vertAlign w:val="superscript"/>
          <w:rtl/>
        </w:rPr>
        <w:footnoteReference w:id="376"/>
      </w:r>
    </w:p>
    <w:p w:rsidR="00DA6CFB" w:rsidRDefault="00DA6CFB" w:rsidP="0092648A">
      <w:pPr>
        <w:pStyle w:val="2"/>
        <w:rPr>
          <w:rtl/>
        </w:rPr>
      </w:pPr>
      <w:bookmarkStart w:id="38" w:name="_Toc444083825"/>
      <w:r>
        <w:rPr>
          <w:rFonts w:hint="cs"/>
          <w:rtl/>
        </w:rPr>
        <w:t xml:space="preserve">14. </w:t>
      </w:r>
      <w:r w:rsidRPr="00F31D15">
        <w:rPr>
          <w:rFonts w:hint="cs"/>
          <w:rtl/>
        </w:rPr>
        <w:t>نعمة الله صالحي نجف آبادي وكتاب الشهيد الخالد</w:t>
      </w:r>
      <w:bookmarkEnd w:id="38"/>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الاعتدال والغلو اتجاهان وُجِدا منذ قديم الزمن في الحوزة العلمية، وتعود السوابق الأولى للاصطدام بين هذين الاتجاهين إلى زمن الأئمة </w:t>
      </w:r>
      <w:r w:rsidR="00924380" w:rsidRPr="00924380">
        <w:rPr>
          <w:rStyle w:val="Char"/>
          <w:rFonts w:cs="CTraditional Arabic" w:hint="cs"/>
          <w:rtl/>
        </w:rPr>
        <w:t>†</w:t>
      </w:r>
      <w:r w:rsidRPr="0092648A">
        <w:rPr>
          <w:rStyle w:val="Char"/>
          <w:rFonts w:hint="cs"/>
          <w:rtl/>
        </w:rPr>
        <w:t xml:space="preserve"> أنفسهم.</w:t>
      </w:r>
      <w:r w:rsidRPr="006E28E9">
        <w:rPr>
          <w:rStyle w:val="Char"/>
          <w:rFonts w:ascii="Arabic11 BT" w:hAnsi="Arabic11 BT" w:cs="Arabic11 BT"/>
          <w:vertAlign w:val="superscript"/>
          <w:rtl/>
        </w:rPr>
        <w:footnoteReference w:id="377"/>
      </w:r>
      <w:r w:rsidRPr="0092648A">
        <w:rPr>
          <w:rStyle w:val="Char"/>
          <w:rFonts w:hint="cs"/>
          <w:rtl/>
        </w:rPr>
        <w:t xml:space="preserve"> وقد كتب الفريقان من أتباع هذين الاتجاهين كتبًا دوَّنوا فيها عقائدهم. وكان الجوّ السائد في المجتمع في كل عصر هو الذي يحدّد مصير النزاعات حول ملاك الغلوّ وموضوع الغلوّ وتحديد الحدّ الفاصل بين الغلوّ والاعتدال، وطرق التعامل مع هذه المسألة والأدبيات التي شكَّلت القالب الذي كانت تُدَوَّن فيه هذه المسائل. إضافة إلى النزاع بين تيار الغلو والتيارات المقابلة له، سواءً تيار الاعتدال أم تيار التفريط والتقصير، فإن النزاع الأخباري </w:t>
      </w:r>
      <w:r w:rsidRPr="006C1E50">
        <w:rPr>
          <w:rFonts w:cs="Times New Roman" w:hint="cs"/>
          <w:rtl/>
          <w:lang w:bidi="ar-SY"/>
        </w:rPr>
        <w:t>–</w:t>
      </w:r>
      <w:r w:rsidRPr="0092648A">
        <w:rPr>
          <w:rStyle w:val="Char"/>
          <w:rFonts w:hint="cs"/>
          <w:rtl/>
        </w:rPr>
        <w:t xml:space="preserve"> الأصولي زاد من حدَّة تلك الاختلافات. كما زادت النظرات العامية للدين التي عادةً ما تكون مشوبة بالخرافات، في مقابل النظرة الدينية الصحيحة التي تحظى بدعم المراجع الدينيين وتأييدهم، من اتساع رقعة هذا النزاع. بعض هذه الأمور هي ذاتها التي أعطاها شريعتي في زمنه لون التعارض بين التشيع العلوي والتشيع الصفوي وهو طرح لا يتمتع بالطبع بكثير من الواقعية أو الأساس التاريخي، وقد سبق أن أشرنا إلى هذا الموضوع في مكان آخر. ورغم ذلك كان هناك دائمًا خلاف في الرأي في هذا المجال.</w:t>
      </w:r>
    </w:p>
    <w:p w:rsidR="00DA6CFB" w:rsidRPr="0092648A" w:rsidRDefault="00DA6CFB" w:rsidP="0092648A">
      <w:pPr>
        <w:widowControl w:val="0"/>
        <w:spacing w:line="216" w:lineRule="auto"/>
        <w:ind w:firstLine="284"/>
        <w:jc w:val="both"/>
        <w:rPr>
          <w:rStyle w:val="Char"/>
          <w:rtl/>
        </w:rPr>
      </w:pPr>
      <w:r w:rsidRPr="0092648A">
        <w:rPr>
          <w:rStyle w:val="Char"/>
          <w:rFonts w:hint="cs"/>
          <w:rtl/>
        </w:rPr>
        <w:t>إحدى القضايا التي طُرِحَت قبل الثورة ضمن هذا الإطار، وضمن الجو الفكري السياسي الذي كان سائدًا في السنوات السابقة للثورة، والظروف الفكرية الخاصة لإيران في ذلك العهد ـ لاسيما داخل الحوزة العلمية- قضية كتاب «</w:t>
      </w:r>
      <w:r w:rsidRPr="0092648A">
        <w:rPr>
          <w:rStyle w:val="Char8"/>
          <w:rFonts w:hint="cs"/>
          <w:rtl/>
        </w:rPr>
        <w:t>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w:t>
      </w:r>
      <w:r w:rsidRPr="0092648A">
        <w:rPr>
          <w:rStyle w:val="Char"/>
          <w:rFonts w:hint="cs"/>
          <w:rtl/>
        </w:rPr>
        <w:t xml:space="preserve">» [الشهيد الخالد] التي اختلطت إلى حدٍّ كبير </w:t>
      </w:r>
      <w:r w:rsidRPr="0092648A">
        <w:rPr>
          <w:rStyle w:val="Char"/>
          <w:rFonts w:hint="cs"/>
          <w:rtl/>
        </w:rPr>
        <w:lastRenderedPageBreak/>
        <w:t>بالتحولات السياسية في تلك الفترة واستتبعت ردود أفعال عديدة.</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وُلِد نعمت الله صالحي نجف آبادي في اليوم الأول من شهر تير عام 1302 هـ.ش [23/6/1923م] في مدينة نجف آباد [من توابع أصفهان]. كان أبوه حسين علي صالحي مزارعًا وله أربعة عشر ولدًا كان صالحي الثاني عشر منهم. أنهى دراسته الابتدائية في المدرسة الوطنية لحسين علي مسجدي المشهور بالمدير وأصبح صديقًا لحسين علي المنتظري منذ الصف الثالث الابتدائي. إلى هنا كان هناك ثلاثة أشخاص يحملون اسم حسين علي أثَّروا في حياته. بدأ منذ عام 1318 هـ.ش [1939م] بدراسة العلوم الدينية في أصفهان. ثم انتقل عام 1326 هـ.ش [1947م] إلى قم، وبدأ بالدراسة وبالتدريس فيها في الوقت ذاته، وكان ماهرًا بشكل خاص في تدريس النصوص الأدبية، ومنها كتابَي الـمُغْني والـمُطَوَّل. كثيرٌ من الشخصيات التي لعبت دورًا فيما بعد في الثورة [وتسلَّموا مناصب رفيعة] ، درسوا، بنحو من الأنحاء، على صالحي نجف آبادي في قم وكانوا من تلاميذه.</w:t>
      </w:r>
      <w:r w:rsidRPr="006E28E9">
        <w:rPr>
          <w:rStyle w:val="Char"/>
          <w:rFonts w:ascii="Arabic11 BT" w:hAnsi="Arabic11 BT" w:cs="Arabic11 BT"/>
          <w:vertAlign w:val="superscript"/>
          <w:rtl/>
        </w:rPr>
        <w:footnoteReference w:id="378"/>
      </w:r>
      <w:r w:rsidRPr="0092648A">
        <w:rPr>
          <w:rStyle w:val="Char"/>
          <w:rFonts w:hint="cs"/>
          <w:rtl/>
        </w:rPr>
        <w:t xml:space="preserve"> كان صالحي نجف آبادي نفسه يحضر دروس آيت الله البروجردي في قم وكان من تلاميذ الإمام الخميني أيضًا. أُبْعِد صالحي حتى سنة 1352 هـ.ش [1973م] - إلى جانب عشرات الأشخاص الآخرين من علماء الحوزة العلمية وفضلائها في ذلك الحين - وكان نشيطًا في الحوزة كمدرِّسٍ رسمِيٍّ وكان يُدَرِّس بعد الثورة كتاب نهج البلاغة أيضًا.</w:t>
      </w:r>
    </w:p>
    <w:p w:rsidR="00DA6CFB" w:rsidRPr="0092648A" w:rsidRDefault="00DA6CFB" w:rsidP="0092648A">
      <w:pPr>
        <w:widowControl w:val="0"/>
        <w:spacing w:line="216" w:lineRule="auto"/>
        <w:ind w:firstLine="284"/>
        <w:jc w:val="both"/>
        <w:rPr>
          <w:rStyle w:val="Char"/>
          <w:rtl/>
        </w:rPr>
      </w:pPr>
      <w:r w:rsidRPr="0092648A">
        <w:rPr>
          <w:rStyle w:val="Char"/>
          <w:rFonts w:hint="cs"/>
          <w:rtl/>
        </w:rPr>
        <w:t>إضافةً إلى التدريس اتجه صالحي أيضًا إلى البحث والتأليف، وكان يكتب في فترة من الفترات مقالات في عدد من المجلات الحوزوية، منها مجلة «</w:t>
      </w:r>
      <w:r w:rsidRPr="0092648A">
        <w:rPr>
          <w:rStyle w:val="Char8"/>
          <w:rFonts w:hint="cs"/>
          <w:rtl/>
        </w:rPr>
        <w:t>م</w:t>
      </w:r>
      <w:r w:rsidR="008C7124">
        <w:rPr>
          <w:rStyle w:val="Char8"/>
          <w:rFonts w:hint="cs"/>
          <w:rtl/>
        </w:rPr>
        <w:t>ک</w:t>
      </w:r>
      <w:r w:rsidRPr="0092648A">
        <w:rPr>
          <w:rStyle w:val="Char8"/>
          <w:rFonts w:hint="cs"/>
          <w:rtl/>
        </w:rPr>
        <w:t>تب اسلام</w:t>
      </w:r>
      <w:r w:rsidRPr="0092648A">
        <w:rPr>
          <w:rStyle w:val="Char"/>
          <w:rFonts w:hint="cs"/>
          <w:rtl/>
        </w:rPr>
        <w:t>» [دين الإسلام]. وكان يلقي دروسًا في تفسير سورة يوسف وقد جَمَع دروس تفسيره لهذه السورة في كتاب عنونه بـ «</w:t>
      </w:r>
      <w:r w:rsidRPr="0092648A">
        <w:rPr>
          <w:rStyle w:val="Char8"/>
          <w:rFonts w:hint="cs"/>
          <w:rtl/>
        </w:rPr>
        <w:t>جمال انسان</w:t>
      </w:r>
      <w:r w:rsidR="008C7124">
        <w:rPr>
          <w:rStyle w:val="Char8"/>
          <w:rFonts w:hint="cs"/>
          <w:rtl/>
        </w:rPr>
        <w:t>ی</w:t>
      </w:r>
      <w:r w:rsidRPr="0092648A">
        <w:rPr>
          <w:rStyle w:val="Char8"/>
          <w:rFonts w:hint="cs"/>
          <w:rtl/>
        </w:rPr>
        <w:t>ت</w:t>
      </w:r>
      <w:r w:rsidRPr="0092648A">
        <w:rPr>
          <w:rStyle w:val="Char"/>
          <w:rFonts w:hint="cs"/>
          <w:rtl/>
        </w:rPr>
        <w:t>». منذ ذلك الزمن كانت لديه ميول معادية للغلوّ وما تزال جذور هذا الاتجاه لديه مجهولةً بالنسبة لراقم هذه السطور.</w:t>
      </w:r>
      <w:r w:rsidRPr="006E28E9">
        <w:rPr>
          <w:rStyle w:val="Char"/>
          <w:rFonts w:ascii="Arabic11 BT" w:hAnsi="Arabic11 BT" w:cs="Arabic11 BT"/>
          <w:vertAlign w:val="superscript"/>
          <w:rtl/>
        </w:rPr>
        <w:footnoteReference w:id="379"/>
      </w:r>
      <w:r w:rsidRPr="0092648A">
        <w:rPr>
          <w:rStyle w:val="Char"/>
          <w:rFonts w:hint="cs"/>
          <w:rtl/>
        </w:rPr>
        <w:t xml:space="preserve"> وعلى كل حال كان لصالحي نجف آبادي ولابن بلدته آية الله المنتظري </w:t>
      </w:r>
      <w:r w:rsidRPr="0092648A">
        <w:rPr>
          <w:rStyle w:val="Char"/>
          <w:rFonts w:hint="cs"/>
          <w:rtl/>
        </w:rPr>
        <w:lastRenderedPageBreak/>
        <w:t>اتجاه معادٍ للغلو إلى حدٍّ ما، هذا رغم أن صالحي ألَّف فيما بعد كُتُبًا في هذا الاتجاه [أما المنتظري فلم يفعل ذلك]. يمكننا أن نشاهد ميول صالحي نجف آبادي الفكرية تجاه محاربة ما يسمِّيه غلوًّا في كثير من كتاباته التي كتبها قبل الثورة أو كتاباته التي كتبها بعد الثورة متابعةً لما كتبه قبلها. وكتابه الذي نُشِر حديثًا تحت عنوان «</w:t>
      </w:r>
      <w:r w:rsidRPr="0092648A">
        <w:rPr>
          <w:rStyle w:val="Char8"/>
          <w:rFonts w:hint="cs"/>
          <w:rtl/>
        </w:rPr>
        <w:t>غلو، درآمدى بر اف</w:t>
      </w:r>
      <w:r w:rsidR="008C7124">
        <w:rPr>
          <w:rStyle w:val="Char8"/>
          <w:rFonts w:hint="cs"/>
          <w:rtl/>
        </w:rPr>
        <w:t>ک</w:t>
      </w:r>
      <w:r w:rsidRPr="0092648A">
        <w:rPr>
          <w:rStyle w:val="Char8"/>
          <w:rFonts w:hint="cs"/>
          <w:rtl/>
        </w:rPr>
        <w:t>ار غال</w:t>
      </w:r>
      <w:r w:rsidR="008C7124">
        <w:rPr>
          <w:rStyle w:val="Char8"/>
          <w:rFonts w:hint="cs"/>
          <w:rtl/>
        </w:rPr>
        <w:t>ی</w:t>
      </w:r>
      <w:r w:rsidRPr="0092648A">
        <w:rPr>
          <w:rStyle w:val="Char8"/>
          <w:rFonts w:hint="cs"/>
          <w:rtl/>
        </w:rPr>
        <w:t>ان در د</w:t>
      </w:r>
      <w:r w:rsidR="008C7124">
        <w:rPr>
          <w:rStyle w:val="Char8"/>
          <w:rFonts w:hint="cs"/>
          <w:rtl/>
        </w:rPr>
        <w:t>ی</w:t>
      </w:r>
      <w:r w:rsidRPr="0092648A">
        <w:rPr>
          <w:rStyle w:val="Char8"/>
          <w:rFonts w:hint="cs"/>
          <w:rtl/>
        </w:rPr>
        <w:t>ن</w:t>
      </w:r>
      <w:r w:rsidRPr="0092648A">
        <w:rPr>
          <w:rStyle w:val="Char"/>
          <w:rFonts w:hint="cs"/>
          <w:rtl/>
        </w:rPr>
        <w:t>» [الغلو، حصيلة أفكار الغلاة في الدين] (طهران 1384 هـ.ش/ [2005م]) عبارة عن مجموع دروسه في عهد ما قبل الثورة والذي يدل على حساسياته الفكرية السابقة في هذا المجال. كان متأثّرًا أيضًا بنمط التفكير العلمي- الديني، وقد كتب فيما بعد بحثًا حول طهارة الماء من وجهة النظر العلمية، وطُبِع ضمن كتاب «</w:t>
      </w:r>
      <w:r w:rsidRPr="0092648A">
        <w:rPr>
          <w:rStyle w:val="Char8"/>
          <w:rFonts w:hint="cs"/>
          <w:rtl/>
        </w:rPr>
        <w:t>پژوهشى در چند مبحث فقه</w:t>
      </w:r>
      <w:r w:rsidR="008C7124">
        <w:rPr>
          <w:rStyle w:val="Char8"/>
          <w:rFonts w:hint="cs"/>
          <w:rtl/>
        </w:rPr>
        <w:t>ی</w:t>
      </w:r>
      <w:r w:rsidRPr="0092648A">
        <w:rPr>
          <w:rStyle w:val="Char"/>
          <w:rFonts w:hint="cs"/>
          <w:rtl/>
        </w:rPr>
        <w:t>» [بحث في بعض الموضوعات الفقهية].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طُبِعَت الأجزاء الأولى من كتابه «شهيد جاويد» </w:t>
      </w:r>
      <w:r w:rsidRPr="0092648A">
        <w:rPr>
          <w:rStyle w:val="Char8"/>
          <w:rFonts w:hint="cs"/>
          <w:rtl/>
        </w:rPr>
        <w:t>[الشه</w:t>
      </w:r>
      <w:r w:rsidR="008C7124">
        <w:rPr>
          <w:rStyle w:val="Char8"/>
          <w:rFonts w:hint="cs"/>
          <w:rtl/>
        </w:rPr>
        <w:t>ی</w:t>
      </w:r>
      <w:r w:rsidRPr="0092648A">
        <w:rPr>
          <w:rStyle w:val="Char8"/>
          <w:rFonts w:hint="cs"/>
          <w:rtl/>
        </w:rPr>
        <w:t>د الخالد</w:t>
      </w:r>
      <w:r w:rsidRPr="0092648A">
        <w:rPr>
          <w:rStyle w:val="Char"/>
          <w:rFonts w:hint="cs"/>
          <w:rtl/>
        </w:rPr>
        <w:t>] سنة 1347 هـ.ش [1968م] في المجلة السنوية: «</w:t>
      </w:r>
      <w:r w:rsidRPr="0092648A">
        <w:rPr>
          <w:rStyle w:val="Char8"/>
          <w:rFonts w:hint="cs"/>
          <w:rtl/>
        </w:rPr>
        <w:t>المعارف الجعفر</w:t>
      </w:r>
      <w:r w:rsidR="008C7124">
        <w:rPr>
          <w:rStyle w:val="Char8"/>
          <w:rFonts w:hint="cs"/>
          <w:rtl/>
        </w:rPr>
        <w:t>یۀ</w:t>
      </w:r>
      <w:r w:rsidRPr="0092648A">
        <w:rPr>
          <w:rStyle w:val="Char"/>
          <w:rFonts w:hint="cs"/>
          <w:rtl/>
        </w:rPr>
        <w:t>»، وبعد فترة وجيزة طُبِعَت هذه المباحث، التي ادَّعى مؤلِّفُها أنه أنفق في تدوينها سبع سنوات في كتاب عنوانه «</w:t>
      </w:r>
      <w:r w:rsidRPr="008C7124">
        <w:rPr>
          <w:rStyle w:val="Char7"/>
          <w:rFonts w:hint="cs"/>
          <w:rtl/>
        </w:rPr>
        <w:t>رَجُلٌ مصلحٌ ودِفَاعٌ دمويٌّ</w:t>
      </w:r>
      <w:r w:rsidRPr="0092648A">
        <w:rPr>
          <w:rStyle w:val="Char"/>
          <w:rFonts w:hint="cs"/>
          <w:rtl/>
        </w:rPr>
        <w:t>»، ثم أصبح عنوان الكتاب فيما بعد «</w:t>
      </w:r>
      <w:r w:rsidRPr="008C7124">
        <w:rPr>
          <w:rStyle w:val="Char7"/>
          <w:rFonts w:hint="cs"/>
          <w:rtl/>
        </w:rPr>
        <w:t>الشهيد الخالد</w:t>
      </w:r>
      <w:r w:rsidRPr="0092648A">
        <w:rPr>
          <w:rStyle w:val="Char"/>
          <w:rFonts w:hint="cs"/>
          <w:rtl/>
        </w:rPr>
        <w:t>».</w:t>
      </w:r>
      <w:r w:rsidRPr="006E28E9">
        <w:rPr>
          <w:rStyle w:val="Char"/>
          <w:rFonts w:ascii="Arabic11 BT" w:hAnsi="Arabic11 BT" w:cs="Arabic11 BT"/>
          <w:vertAlign w:val="superscript"/>
          <w:rtl/>
        </w:rPr>
        <w:footnoteReference w:id="380"/>
      </w:r>
      <w:r w:rsidRPr="0092648A">
        <w:rPr>
          <w:rStyle w:val="Char"/>
          <w:rFonts w:hint="cs"/>
          <w:rtl/>
        </w:rPr>
        <w:t xml:space="preserve"> صدرت أول طبعة للكتاب في شهر شهريور سنة 1349 هـ.ش [1970م]. في ذلك الزمن، وبسبب تضمُّن الكتاب لجانب سياسي بشكل كبير حظي الكتاب بتأييد آية الله المنتظري وآية الله المشكيني اللذين كتب كلٌّ منهما تقريظًا على الكتاب.</w:t>
      </w:r>
      <w:r w:rsidRPr="006E28E9">
        <w:rPr>
          <w:rStyle w:val="Char"/>
          <w:rFonts w:ascii="Arabic11 BT" w:hAnsi="Arabic11 BT" w:cs="Arabic11 BT"/>
          <w:vertAlign w:val="superscript"/>
          <w:rtl/>
        </w:rPr>
        <w:footnoteReference w:id="381"/>
      </w:r>
      <w:r w:rsidRPr="0092648A">
        <w:rPr>
          <w:rStyle w:val="Char"/>
          <w:rFonts w:hint="cs"/>
          <w:rtl/>
        </w:rPr>
        <w:t xml:space="preserve"> وقد دافع منتظري بشدة عن تقريظه للكتاب في مواجهة اعتراض المعترضين على الكتاب وحتى في مواجهة اعتراض السيد الكلبايكانى.</w:t>
      </w:r>
      <w:r w:rsidRPr="006E28E9">
        <w:rPr>
          <w:rStyle w:val="Char"/>
          <w:rFonts w:ascii="Arabic11 BT" w:hAnsi="Arabic11 BT" w:cs="Arabic11 BT"/>
          <w:vertAlign w:val="superscript"/>
          <w:rtl/>
        </w:rPr>
        <w:footnoteReference w:id="382"/>
      </w:r>
      <w:r w:rsidRPr="0092648A">
        <w:rPr>
          <w:rStyle w:val="Char"/>
          <w:rFonts w:hint="cs"/>
          <w:rtl/>
        </w:rPr>
        <w:t xml:space="preserve"> هذا في حين أن آية الله المشكيني كتب بيانًا </w:t>
      </w:r>
      <w:r w:rsidRPr="006C1E50">
        <w:rPr>
          <w:rFonts w:cs="Times New Roman" w:hint="cs"/>
          <w:rtl/>
          <w:lang w:bidi="ar-SY"/>
        </w:rPr>
        <w:t>–</w:t>
      </w:r>
      <w:r w:rsidRPr="0092648A">
        <w:rPr>
          <w:rStyle w:val="Char"/>
          <w:rFonts w:hint="cs"/>
          <w:rtl/>
        </w:rPr>
        <w:t xml:space="preserve"> طبقًا لتقرير السافاك </w:t>
      </w:r>
      <w:r w:rsidRPr="006C1E50">
        <w:rPr>
          <w:rFonts w:cs="Times New Roman" w:hint="cs"/>
          <w:rtl/>
          <w:lang w:bidi="ar-SY"/>
        </w:rPr>
        <w:t>–</w:t>
      </w:r>
      <w:r w:rsidRPr="0092648A">
        <w:rPr>
          <w:rStyle w:val="Char"/>
          <w:rFonts w:hint="cs"/>
          <w:rtl/>
        </w:rPr>
        <w:t xml:space="preserve"> قال فيه : «إن كتابة تقريظ على كتاب من الكتب يرجع عادة إلى حسن انتخاب موضوع البحث وسلاسة </w:t>
      </w:r>
      <w:r w:rsidRPr="0092648A">
        <w:rPr>
          <w:rStyle w:val="Char"/>
          <w:rFonts w:hint="cs"/>
          <w:rtl/>
        </w:rPr>
        <w:lastRenderedPageBreak/>
        <w:t xml:space="preserve">الأسلوب وطريقة جمع الأفكار وتنظيمها، ولا يستلزم أبدًا تصديق جميع الأفكار المطروحة في الكتاب، بل لا يتيسر لأغلب كُتّاب التقاريظ أن يراجعوا جميع الوثائق والمستندات والمآخذ التي رجع إليها مؤلف الكتاب... وهناك سؤال حول بعض موضوعات الكتاب، هذا على الرغم من أن وجهة نظري تجاه بعض الأفكار والموضوعات لا تتفق مع وجهة نظر المؤلف، كما أنه طبقًا لتحقيق عدد من أساتذة الحوزة العلمية في قم وزملائي المحترمين -دامت إفاضاتهم - لوحظ وجود بعض الأخطاء بعد انتشار الكتاب. ولكن لما كان المؤلف قد صرح في كتابه بأن الأبحاث والمسائل المطروحة فيه مُجرَّد إبداء وجهة نظر وبيان لفرضية معينة بشأن النهضة المقدسة لحضرة الحسين </w:t>
      </w:r>
      <w:r w:rsidR="00924380" w:rsidRPr="00924380">
        <w:rPr>
          <w:rStyle w:val="Char"/>
          <w:rFonts w:cs="CTraditional Arabic" w:hint="cs"/>
          <w:rtl/>
        </w:rPr>
        <w:t>÷</w:t>
      </w:r>
      <w:r w:rsidRPr="0092648A">
        <w:rPr>
          <w:rStyle w:val="Char"/>
          <w:rFonts w:hint="cs"/>
          <w:rtl/>
        </w:rPr>
        <w:t>، فإننا تصورنا أن العلماء والكُتَّاب سيقومون في مستقبل قريب بدراسات وتحقيقات حول جوانب هذا الموضوع ويمحِّصوا ما طُرِح فيه ويحلُّوا الإشكالات المُتَصَوَّرَة بشكل منصف، ويُقَدِّموا لنا كُتُبًا أكثر أهمية وعمقًا حول هذا الموضوع».</w:t>
      </w:r>
      <w:r w:rsidRPr="006E28E9">
        <w:rPr>
          <w:rStyle w:val="Char"/>
          <w:rFonts w:ascii="Arabic11 BT" w:hAnsi="Arabic11 BT" w:cs="Arabic11 BT"/>
          <w:vertAlign w:val="superscript"/>
          <w:rtl/>
        </w:rPr>
        <w:footnoteReference w:id="383"/>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هذا في حين أن كثيرًا من كُتَّاب الحوزة التقليديين وكذلك بعض المراجع مثل آية الله الكلبايكانى،</w:t>
      </w:r>
      <w:r w:rsidRPr="006E28E9">
        <w:rPr>
          <w:rStyle w:val="Char"/>
          <w:rFonts w:ascii="Arabic11 BT" w:hAnsi="Arabic11 BT" w:cs="Arabic11 BT"/>
          <w:vertAlign w:val="superscript"/>
          <w:rtl/>
        </w:rPr>
        <w:footnoteReference w:id="384"/>
      </w:r>
      <w:r w:rsidRPr="0092648A">
        <w:rPr>
          <w:rStyle w:val="Char"/>
          <w:rFonts w:hint="cs"/>
          <w:rtl/>
        </w:rPr>
        <w:t xml:space="preserve"> وآية الله المرعشي النجفي</w:t>
      </w:r>
      <w:r w:rsidRPr="006E28E9">
        <w:rPr>
          <w:rStyle w:val="Char"/>
          <w:rFonts w:ascii="Arabic11 BT" w:hAnsi="Arabic11 BT" w:cs="Arabic11 BT"/>
          <w:vertAlign w:val="superscript"/>
          <w:rtl/>
        </w:rPr>
        <w:footnoteReference w:id="385"/>
      </w:r>
      <w:r w:rsidRPr="0092648A">
        <w:rPr>
          <w:rStyle w:val="Char"/>
          <w:rFonts w:hint="cs"/>
          <w:rtl/>
        </w:rPr>
        <w:t>، اللذَيْن اعترضا على الكتاب، كتبوا عددًا من الكتب ردًّا عليه. كان آية الله الكلبايكانى من أكثر من بذل جهودًا لمنع طباعة هذا الكتاب، وعندما جاء عدد من طلاب العلوم الدينية من أهالي أصفهان إلى منزل آية الله الكلبايكانى للاعتراض عنده على إهانة قُرَّاء مصائب آل البيت في قم لآية الله المشكيني، قال آية الله الكلبايكانى لهم: « قبل عدة سنوات جاءني صالحي بكتابٍ ألَّفه وطلب مني الإذن له بطباعته. فقرأتُ الكتابَ بدقة فرأيت أنه لا ينبغي طباعته، فلم أسمح له بطباعته. فقال لي صالحي: لو قال لي السيد صافي [الكلبايكانى]</w:t>
      </w:r>
      <w:r w:rsidRPr="006E28E9">
        <w:rPr>
          <w:rStyle w:val="Char"/>
          <w:rFonts w:ascii="Arabic11 BT" w:hAnsi="Arabic11 BT" w:cs="Arabic11 BT"/>
          <w:vertAlign w:val="superscript"/>
          <w:rtl/>
        </w:rPr>
        <w:footnoteReference w:id="386"/>
      </w:r>
      <w:r w:rsidRPr="0092648A">
        <w:rPr>
          <w:rStyle w:val="Char"/>
          <w:rFonts w:hint="cs"/>
          <w:rtl/>
        </w:rPr>
        <w:t xml:space="preserve"> أيضًا لا تطبعه فلن </w:t>
      </w:r>
      <w:r w:rsidRPr="0092648A">
        <w:rPr>
          <w:rStyle w:val="Char"/>
          <w:rFonts w:hint="cs"/>
          <w:rtl/>
        </w:rPr>
        <w:lastRenderedPageBreak/>
        <w:t>أطبعه، فقرأه صافي ورأى أيضًا أنه لا يَصْلُحُ أن يُطْبَع الكتاب. ومع ذلك فوجِئتُ بسماعي أن صالحي طبع الكتاب. فكل من كان مُقَلِّدًا لي يحرم عليه قراءة هذا الكتاب».</w:t>
      </w:r>
      <w:r w:rsidRPr="006E28E9">
        <w:rPr>
          <w:rStyle w:val="Char"/>
          <w:rFonts w:ascii="Arabic11 BT" w:hAnsi="Arabic11 BT" w:cs="Arabic11 BT"/>
          <w:vertAlign w:val="superscript"/>
          <w:rtl/>
        </w:rPr>
        <w:footnoteReference w:id="387"/>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تكلم كثير من خطباء المنابر في المدن المختلفة ومنها قم، وبشكل خاص مدينة أصفهان، ضد كتاب </w:t>
      </w:r>
      <w:r w:rsidRPr="0092648A">
        <w:rPr>
          <w:rStyle w:val="Char8"/>
          <w:rFonts w:hint="cs"/>
          <w:rtl/>
        </w:rPr>
        <w:t>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w:t>
      </w:r>
      <w:r w:rsidRPr="0092648A">
        <w:rPr>
          <w:rStyle w:val="Char"/>
          <w:rFonts w:hint="cs"/>
          <w:rtl/>
        </w:rPr>
        <w:t xml:space="preserve"> [الشهيد الخالد].</w:t>
      </w:r>
      <w:r w:rsidRPr="006E28E9">
        <w:rPr>
          <w:rStyle w:val="Char"/>
          <w:rFonts w:ascii="Arabic11 BT" w:hAnsi="Arabic11 BT" w:cs="Arabic11 BT"/>
          <w:vertAlign w:val="superscript"/>
          <w:rtl/>
        </w:rPr>
        <w:footnoteReference w:id="388"/>
      </w:r>
      <w:r w:rsidRPr="0092648A">
        <w:rPr>
          <w:rStyle w:val="Char"/>
          <w:rFonts w:hint="cs"/>
          <w:rtl/>
        </w:rPr>
        <w:t xml:space="preserve"> ومن الملفت للنظر أن آية الله طالقاني دعا الشيخ صالحي نجف آبادي، بعد عدة أشهر من انتشار كتابه هذا، إلى إلقاء دروس حوله على مدار عشر ليالٍ في مسجده «هدايَت». في التقرير الذي كتبه جهاز السافاك عن تلك الخطب أو الدروس التي ألقاها صالحي نجف آبادي، أُشيرَ إلى تعرُّض طالقاني إلى انتقادات بسبب دعوته تلك للشيخ صالحي.</w:t>
      </w:r>
      <w:r w:rsidRPr="006E28E9">
        <w:rPr>
          <w:rStyle w:val="Char"/>
          <w:rFonts w:ascii="Arabic11 BT" w:hAnsi="Arabic11 BT" w:cs="Arabic11 BT"/>
          <w:vertAlign w:val="superscript"/>
          <w:rtl/>
        </w:rPr>
        <w:footnoteReference w:id="389"/>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تعود المواقف التي اتُّخِذَت تجاه كتاب الشهيد الخالد إلى رأيين طرحهما صالحي نجف آبادي في الكتاب بوصفهما نقطتان جديدتان في الظاهر. النقطة الأكثر أهمية هي أن صالحي دَعَمَ وقوّى، في فصل هدف الإمام الحسين </w:t>
      </w:r>
      <w:r w:rsidRPr="0092648A">
        <w:rPr>
          <w:rStyle w:val="Char"/>
        </w:rPr>
        <w:t></w:t>
      </w:r>
      <w:r w:rsidRPr="0092648A">
        <w:rPr>
          <w:rStyle w:val="Char"/>
          <w:rFonts w:hint="cs"/>
          <w:rtl/>
        </w:rPr>
        <w:t xml:space="preserve"> من قيام عاشوراء، النظرية التي تقول إن الإمام الحسين </w:t>
      </w:r>
      <w:r w:rsidRPr="0092648A">
        <w:rPr>
          <w:rStyle w:val="Char"/>
        </w:rPr>
        <w:t></w:t>
      </w:r>
      <w:r w:rsidRPr="0092648A">
        <w:rPr>
          <w:rStyle w:val="Char"/>
          <w:rFonts w:hint="cs"/>
          <w:rtl/>
        </w:rPr>
        <w:t xml:space="preserve"> كان يسعى إلى تشكيل حكومة [واستلام زمام السلطة].</w:t>
      </w:r>
      <w:r w:rsidRPr="006E28E9">
        <w:rPr>
          <w:rStyle w:val="Char"/>
          <w:rFonts w:ascii="Arabic11 BT" w:hAnsi="Arabic11 BT" w:cs="Arabic11 BT"/>
          <w:vertAlign w:val="superscript"/>
          <w:rtl/>
        </w:rPr>
        <w:footnoteReference w:id="390"/>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كان طرح هذه المسألة جذّابًا جدًّا بالنسبة إلى الثوريين، ولهذا السبب كانوا يدافعون عن الكتاب، بغض النظر عن أي نقاط أخرى فيه. وقد قام هؤلاء الأفراد بتعبئة طلاب العلوم الدينية الثوريين ودفعهم إلى الذهاب إلى منزل آية الله الكلبايكاني ليطلقوا هناك شعارات مؤيدة لصالحي نجف آبادي وللمنتظري والمشكيني.</w:t>
      </w:r>
      <w:r w:rsidRPr="006E28E9">
        <w:rPr>
          <w:rStyle w:val="Char"/>
          <w:rFonts w:ascii="Arabic11 BT" w:hAnsi="Arabic11 BT" w:cs="Arabic11 BT"/>
          <w:vertAlign w:val="superscript"/>
          <w:rtl/>
        </w:rPr>
        <w:footnoteReference w:id="391"/>
      </w:r>
      <w:r w:rsidRPr="0092648A">
        <w:rPr>
          <w:rStyle w:val="Char"/>
          <w:rFonts w:hint="cs"/>
          <w:rtl/>
        </w:rPr>
        <w:t xml:space="preserve"> ولقد كان لهذه المجموعة من طلاب العلوم الدينية الثوريين الذين أطلقوا على أنفسهم اسم «گروه ضربت» [أي: المجموعة الضاربة] نشاطات معادية للسيد مهدي كلبايكاني وكانوا يعتبرونه مسؤولاً عن إثارة آية الله الكلبايكاني. أما نظرية السافاك فكانت تقول إن جزءاً من زعامة تلك القضية قاده شخص يُدعى قدرة الله علي خاني.</w:t>
      </w:r>
      <w:r w:rsidRPr="006E28E9">
        <w:rPr>
          <w:rStyle w:val="Char"/>
          <w:rFonts w:ascii="Arabic11 BT" w:hAnsi="Arabic11 BT" w:cs="Arabic11 BT"/>
          <w:vertAlign w:val="superscript"/>
          <w:rtl/>
        </w:rPr>
        <w:footnoteReference w:id="392"/>
      </w:r>
    </w:p>
    <w:p w:rsidR="00DA6CFB" w:rsidRPr="0092648A" w:rsidRDefault="00DA6CFB" w:rsidP="008C7124">
      <w:pPr>
        <w:widowControl w:val="0"/>
        <w:spacing w:line="216" w:lineRule="auto"/>
        <w:ind w:firstLine="284"/>
        <w:jc w:val="both"/>
        <w:rPr>
          <w:rStyle w:val="Char"/>
          <w:rtl/>
        </w:rPr>
      </w:pPr>
      <w:r w:rsidRPr="0092648A">
        <w:rPr>
          <w:rStyle w:val="Char"/>
          <w:rFonts w:hint="cs"/>
          <w:rtl/>
        </w:rPr>
        <w:lastRenderedPageBreak/>
        <w:t>لكن الاعتراضات على هذا الكتاب لم تقتصر على هذا الموضوع، بل إضافة إلى هذا الأمر شملت بشكل أكثر مسألة علم الإمام وسعة هذا العلم. لقد أيد مؤلف كتاب الشهيد الخالد النظرية التي ترى أنه على الرغم من أن الإمام الحسين  أخبر عن شهادته بشكل إجمالي عام، إلا أنه لم يكن يعلم أن هذه الشهادة كانت ستقع في هذا السفر أم في غيره. بالنسبة إلى الأجنحة في الحوزة الذين يميلون إلى إثبات نظرية علم الإمام بكل التفاصيل والجزئيات لم تكن هذه المسألة قابلةً للتحمل، لذا ثاروا ضدَّها وقاموا بمعارضتها.</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طرح مؤلف </w:t>
      </w:r>
      <w:r w:rsidRPr="0092648A">
        <w:rPr>
          <w:rStyle w:val="Char8"/>
          <w:rFonts w:hint="cs"/>
          <w:rtl/>
        </w:rPr>
        <w:t>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w:t>
      </w:r>
      <w:r w:rsidRPr="0092648A">
        <w:rPr>
          <w:rStyle w:val="Char"/>
          <w:rFonts w:hint="cs"/>
          <w:rtl/>
        </w:rPr>
        <w:t xml:space="preserve"> [الشهيد الخالد] هاتين المسألتين، أي موضوع الحكومة الإسلامية وأن إقامتها هو الهدف الذي ثار لأجله الحسين </w:t>
      </w:r>
      <w:r w:rsidRPr="0092648A">
        <w:rPr>
          <w:rStyle w:val="Char"/>
        </w:rPr>
        <w:t></w:t>
      </w:r>
      <w:r w:rsidRPr="0092648A">
        <w:rPr>
          <w:rStyle w:val="Char"/>
          <w:rFonts w:hint="cs"/>
          <w:rtl/>
        </w:rPr>
        <w:t>، وموضوع علم الإمام [الذي لا يشمل زمان ومكان شهادته على الوجه التعيين] انطلاقًا من حبِّه لهذين الموضوعين، ولكن بالنظر إلى المؤلفات التي كتبها في مجال محاربة الغلو، كان يبدو أن اهتمامه منصبٌّ بشكل أكبر على موضوع حدود علم الإمام [وأنه علم إجمالي لا تفصيلي].</w:t>
      </w:r>
    </w:p>
    <w:p w:rsidR="00DA6CFB" w:rsidRPr="0092648A" w:rsidRDefault="00DA6CFB" w:rsidP="0092648A">
      <w:pPr>
        <w:widowControl w:val="0"/>
        <w:spacing w:line="216" w:lineRule="auto"/>
        <w:ind w:firstLine="284"/>
        <w:jc w:val="both"/>
        <w:rPr>
          <w:rStyle w:val="Char"/>
          <w:rtl/>
        </w:rPr>
      </w:pPr>
      <w:r w:rsidRPr="0092648A">
        <w:rPr>
          <w:rStyle w:val="Char"/>
          <w:rFonts w:hint="cs"/>
          <w:rtl/>
        </w:rPr>
        <w:t>هذا الخلاف والتعارض، ولاسيما قيام شخصيتين بارزتين من علماء الدين الثوريين في قم بكتابة تقاريظ على هذا الكتاب (والطرح المتزامن لمسائل تتعلق بحسينية الإرشاد) جعل التقليديين في الحوزة يقفون في مواجهة الثوريين وجهاً لوجه، ومهّد السبيل إلى تعميق الفجوة والخلاف بينهما، وكان من الأمور الأخرى التي تفصل بينهما اعتقاد الفريق الأول بمرجعية آية الله الخوئي واعتقاد الفريق الثاني بمرجعية الإمام الخميني. وطبقاً لقول السيد طاهري الخرم آبادي فإن كتابة التقاريظ على الكتاب مِنْ قِبَل ذينك العالمين البارزين كانت حجة للطعن في الثورة وفي طريق الإمام الخميني وهدفه.</w:t>
      </w:r>
      <w:r w:rsidRPr="006E28E9">
        <w:rPr>
          <w:rStyle w:val="Char"/>
          <w:rFonts w:ascii="Arabic11 BT" w:hAnsi="Arabic11 BT" w:cs="Arabic11 BT"/>
          <w:vertAlign w:val="superscript"/>
          <w:rtl/>
        </w:rPr>
        <w:footnoteReference w:id="393"/>
      </w:r>
      <w:r w:rsidRPr="0092648A">
        <w:rPr>
          <w:rStyle w:val="Char"/>
          <w:rFonts w:hint="cs"/>
          <w:rtl/>
        </w:rPr>
        <w:t xml:space="preserve"> بعض الثوريين أيضًا، حتى وإن كانوا معارضين لمحتوى الكتاب، كانوا مضطرين للدفاع عن الكتاب لفظيًّا كي لا تُوَجَّه ضربةٌ للثورة. كانوا يتصورون أن الطعن في هذا الكتاب يمثل على نحو من الأنحاء طعنًا في الشيخين المنتظري والمشكيني وأن الطعن فيهما يعني الطعن في الثورة. وفي الوقت ذاته انفصل عدد من الثوريين أيضًا عن صف النضال بسبب عقائدهم الدينية.</w:t>
      </w:r>
      <w:r w:rsidRPr="006E28E9">
        <w:rPr>
          <w:rStyle w:val="Char"/>
          <w:rFonts w:ascii="Arabic11 BT" w:hAnsi="Arabic11 BT" w:cs="Arabic11 BT"/>
          <w:vertAlign w:val="superscript"/>
          <w:rtl/>
        </w:rPr>
        <w:footnoteReference w:id="394"/>
      </w:r>
      <w:r w:rsidRPr="0092648A">
        <w:rPr>
          <w:rStyle w:val="Char"/>
          <w:rFonts w:hint="cs"/>
          <w:rtl/>
        </w:rPr>
        <w:t xml:space="preserve"> وفي المقابل </w:t>
      </w:r>
      <w:r w:rsidRPr="0092648A">
        <w:rPr>
          <w:rStyle w:val="Char"/>
          <w:rFonts w:hint="cs"/>
          <w:rtl/>
        </w:rPr>
        <w:lastRenderedPageBreak/>
        <w:t xml:space="preserve">وكما ذكرنا سابقًا مرارًا، تراجع بعض الثوريين قليلاً عن الثورة خشية احتمال انتشار الوهابية في إيران. في أوائل سنة 1356 هـ.ش [1977م] أراد أحد الأشخاص الذهاب إلى العراق لزيارة العتبات المقدَّسة فذهب إلى السيد أنصاري الشيرازي وقال له: ألا ترغب أن أبلغ الإمام الخميني رسالة من قِبَلك؟ فقال له السيد أنصاري الشيرازي: «أجل، قل للإمام الخميني عن لساني إن عددًا من الناس يُشيعون اليوم العقيدة الوهابية تحت ستار إظهار المحبة والولاء لك. وعندما نقول لهم إن السيد الخميني ألف قبل أربعين سنة كتاب </w:t>
      </w:r>
      <w:r w:rsidR="008C7124">
        <w:rPr>
          <w:rStyle w:val="Char8"/>
          <w:rFonts w:hint="cs"/>
          <w:rtl/>
        </w:rPr>
        <w:t>ک</w:t>
      </w:r>
      <w:r w:rsidRPr="0092648A">
        <w:rPr>
          <w:rStyle w:val="Char8"/>
          <w:rFonts w:hint="cs"/>
          <w:rtl/>
        </w:rPr>
        <w:t>شف الأسرار</w:t>
      </w:r>
      <w:r w:rsidRPr="0092648A">
        <w:rPr>
          <w:rStyle w:val="Char"/>
          <w:rFonts w:hint="cs"/>
          <w:rtl/>
        </w:rPr>
        <w:t xml:space="preserve"> وحارب فيه الوهابية ورد عليهم؛ يجيبوننا إن كتاب </w:t>
      </w:r>
      <w:r w:rsidR="008C7124">
        <w:rPr>
          <w:rStyle w:val="Char8"/>
          <w:rFonts w:hint="cs"/>
          <w:rtl/>
        </w:rPr>
        <w:t>ک</w:t>
      </w:r>
      <w:r w:rsidRPr="0092648A">
        <w:rPr>
          <w:rStyle w:val="Char8"/>
          <w:rFonts w:hint="cs"/>
          <w:rtl/>
        </w:rPr>
        <w:t>شف الأسرار</w:t>
      </w:r>
      <w:r w:rsidRPr="0092648A">
        <w:rPr>
          <w:rStyle w:val="Char"/>
          <w:rFonts w:hint="cs"/>
          <w:rtl/>
        </w:rPr>
        <w:t xml:space="preserve"> لم يكتبه السيد الخميني! وبعضهم يقول: إن السيد الخميني غيّر عقيدته. والخلاصة: قل للإمام إن هؤلاء الأفراد يحاربون زيارة العتبات، ويعارضون إقامة مجالس قراءة مصائب آل البيت كما يعارضون غيرها من المقدّسات، وقد كتبوا رسائل يهددوني فيها ورموها داخل منزلي. عندما كنت أعيش في المنفى كنت أكثر راحةً مني الآن في قم. إنني أتعرض اليوم بشدة لأذى وإزعاج هؤلاء الأفراد ذوي المشرب الوهابي. وباختصار قل للسيد الخميني: إن هناك عدد من الأفراد يظهرون محبتهم لساحتكم المقدسة ويقومون بشكل مباشر بإشاعة الأفكار الوهابية والماركسية والأفكار المعادية للدين. فاطلب من السيد أن يعطف نظره المبارك على هذا الموضوع ويوليه اهتمامه».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كتب جهاز السافاك في تحليل هذا الخبر: إن المقصود من أولئك الأفراد الذين يقومون بإشاعة العقيدة الوهابية: «مؤيدو وأنصار كتاب </w:t>
      </w:r>
      <w:r w:rsidRPr="008C7124">
        <w:rPr>
          <w:rStyle w:val="Char7"/>
          <w:rFonts w:hint="cs"/>
          <w:rtl/>
        </w:rPr>
        <w:t>الشهيد الخالد</w:t>
      </w:r>
      <w:r w:rsidRPr="0092648A">
        <w:rPr>
          <w:rStyle w:val="Char"/>
          <w:rFonts w:hint="cs"/>
          <w:rtl/>
        </w:rPr>
        <w:t xml:space="preserve"> ذاتهم الذين كانوا يطرحون أنفسهم بوصفهم من المرتبطين بِـ (الإمام) الخميني».</w:t>
      </w:r>
      <w:r w:rsidRPr="006E28E9">
        <w:rPr>
          <w:rStyle w:val="Char"/>
          <w:rFonts w:ascii="Arabic11 BT" w:hAnsi="Arabic11 BT" w:cs="Arabic11 BT"/>
          <w:vertAlign w:val="superscript"/>
          <w:rtl/>
        </w:rPr>
        <w:footnoteReference w:id="395"/>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من الواضح أن الإمام كان يتعرض للهجوم من منطلق أن أتباعه الثوريين لا يعتقدون بعلم الإمام المعصوم الشامل؛ هذا على الرغم من أن المسألة التي كان يهتم بها الثوريون [في كتاب الشهيد الخالد] هي أن هدف الإمام الحسين </w:t>
      </w:r>
      <w:r w:rsidR="00924380" w:rsidRPr="00924380">
        <w:rPr>
          <w:rStyle w:val="Char"/>
          <w:rFonts w:cs="CTraditional Arabic" w:hint="cs"/>
          <w:rtl/>
        </w:rPr>
        <w:t>÷</w:t>
      </w:r>
      <w:r w:rsidRPr="0092648A">
        <w:rPr>
          <w:rStyle w:val="Char"/>
          <w:rFonts w:hint="cs"/>
          <w:rtl/>
        </w:rPr>
        <w:t xml:space="preserve"> من ثورته كان تشكيل الحكومة وليست موضوع علم الإمام. في هذا المجال كان نظام البهلوي يسعى إلى الدفاع عن الجناح غير الثوري، وكان يستغل بشكل عام قضيَّة كتاب الشهيد الخالد لإخراج الإمام الخميني وعلماء الدين المناضلين الثوريين من الساحة. والأهم من ذلك أن يجعل الفريقين [الثوريين وغير الثوريين] يقتتلان ويتصارعان فيما بينهما. وقد اشتدت حدة هذا الخلاف وتصاعدت إلى درجة أن الموضوع انتقل إلى الشاه نفسه الذي </w:t>
      </w:r>
      <w:r w:rsidRPr="0092648A">
        <w:rPr>
          <w:rStyle w:val="Char"/>
          <w:rFonts w:hint="cs"/>
          <w:rtl/>
        </w:rPr>
        <w:lastRenderedPageBreak/>
        <w:t>قال بعبارة سياسية مختصرة: «استفيدوا من هذه الفرصة وحطِّموا عُمَلاء الخميني».</w:t>
      </w:r>
      <w:r w:rsidRPr="006E28E9">
        <w:rPr>
          <w:rStyle w:val="Char"/>
          <w:rFonts w:ascii="Arabic11 BT" w:hAnsi="Arabic11 BT" w:cs="Arabic11 BT"/>
          <w:vertAlign w:val="superscript"/>
          <w:rtl/>
        </w:rPr>
        <w:footnoteReference w:id="396"/>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 إيجاد الاختلاف وإثارته بين الفريقين من خلال قيام السافاك بطباعة الكتاب نفسه أو طباعة الكتب التي ترد عليه هو الوسيلة التي استخدمها جهاز السافاك لتحقيق الهدف الذي أراده الشاه.</w:t>
      </w:r>
      <w:r w:rsidRPr="006E28E9">
        <w:rPr>
          <w:rStyle w:val="Char"/>
          <w:rFonts w:ascii="Arabic11 BT" w:hAnsi="Arabic11 BT" w:cs="Arabic11 BT"/>
          <w:vertAlign w:val="superscript"/>
          <w:rtl/>
        </w:rPr>
        <w:footnoteReference w:id="397"/>
      </w:r>
      <w:r w:rsidRPr="0092648A">
        <w:rPr>
          <w:rStyle w:val="Char"/>
          <w:rFonts w:hint="cs"/>
          <w:rtl/>
        </w:rPr>
        <w:t xml:space="preserve"> في ذلك الزمن، أي سنة 1350 هـ.ش [1971م]، كان آية الله الكلبايكاني أحد الأركان الصلبة في الحوزة في وجه حكومة الشاه البهلوي. كان النظام الحاكم يسعى، إضافة إلى استغلال هذه القضية لتضعيف أنصار الثورة أو حسب قول الشاه: «عملاء الخميني»، إلى القيام ببعض الأمور ضد السيد الكلبايكاني أيضًا. وفي الوقت ذاته الذي ذهب فيه مجموعة من طلاب العلوم الدينية الثوريين والشباب إلى منزل آية الله الكلبايكاني وأبرزوا انزعاجهم وحزنهم لقيام الوعاظ وقراء مصائب أهل البيت بمهاجمة الشيخ المشكيني، كان السافاك ينوي إصدار بيان ضد آية الله الكلبايكاني بتوقيع «طلاب الحوزة العلمية في قم» بهدف إضعاف السيد الكلبايكاني.</w:t>
      </w:r>
      <w:r w:rsidRPr="006E28E9">
        <w:rPr>
          <w:rStyle w:val="Char"/>
          <w:rFonts w:ascii="Arabic11 BT" w:hAnsi="Arabic11 BT" w:cs="Arabic11 BT"/>
          <w:vertAlign w:val="superscript"/>
          <w:rtl/>
        </w:rPr>
        <w:footnoteReference w:id="39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أصدر صالحي نجف آبادي بعد الثورة الإسلامية كتاباً بعنوان: «توطئه شاه بر ضد امام خميني» [مؤامرة الشاه ضد الإمام الخميني] أو «حيل السافاك السياسية ضد الحوزة العلمية» وسعى في الكتاب إلى مزج الجوانب السياسية لهذه القضية بالأبعاد الدينية استنادًا إلى ما حصل عليه من وثائق السافاك. إن الأمر الذي يستحق الانتباه من وجهة نظر الإمام ورؤيته البعيدة هو أن هذا الاختلاف بحد ذاته أمر مذموم، مع الإشارة إلى الإثارة والتحريض التي كان نظام الشاه يقوم بها لشغل رجال </w:t>
      </w:r>
      <w:r w:rsidRPr="0092648A">
        <w:rPr>
          <w:rStyle w:val="Char"/>
          <w:rFonts w:hint="cs"/>
          <w:rtl/>
        </w:rPr>
        <w:lastRenderedPageBreak/>
        <w:t>الدين بهذا الموضوع.</w:t>
      </w:r>
      <w:r w:rsidRPr="006E28E9">
        <w:rPr>
          <w:rStyle w:val="Char"/>
          <w:rFonts w:ascii="Arabic11 BT" w:hAnsi="Arabic11 BT" w:cs="Arabic11 BT"/>
          <w:vertAlign w:val="superscript"/>
          <w:rtl/>
        </w:rPr>
        <w:footnoteReference w:id="399"/>
      </w:r>
    </w:p>
    <w:p w:rsidR="00DA6CFB" w:rsidRPr="008C7124" w:rsidRDefault="00DA6CFB" w:rsidP="0092648A">
      <w:pPr>
        <w:widowControl w:val="0"/>
        <w:spacing w:line="216" w:lineRule="auto"/>
        <w:ind w:firstLine="284"/>
        <w:jc w:val="both"/>
        <w:rPr>
          <w:rStyle w:val="Char"/>
          <w:spacing w:val="-2"/>
          <w:rtl/>
        </w:rPr>
      </w:pPr>
      <w:r w:rsidRPr="008C7124">
        <w:rPr>
          <w:rStyle w:val="Char"/>
          <w:rFonts w:hint="cs"/>
          <w:spacing w:val="-2"/>
          <w:rtl/>
        </w:rPr>
        <w:t>كان الأمر الصريح الذي أصدره «مقدم» إلى عناصر السافاك في قم هو التالي: الرجاء إعطاء التعليمات بشكل غير مباشر وغير محسوس ودون أن ينتبه المشار إليه إلى ذلك، بتقديم تسهيلات لإعادة طباعة كتاب الشهيد الخالد.</w:t>
      </w:r>
      <w:r w:rsidRPr="008C7124">
        <w:rPr>
          <w:rStyle w:val="Char"/>
          <w:rFonts w:ascii="Arabic11 BT" w:hAnsi="Arabic11 BT" w:cs="Arabic11 BT"/>
          <w:spacing w:val="-2"/>
          <w:vertAlign w:val="superscript"/>
          <w:rtl/>
        </w:rPr>
        <w:footnoteReference w:id="400"/>
      </w:r>
      <w:r w:rsidRPr="008C7124">
        <w:rPr>
          <w:rStyle w:val="Char"/>
          <w:rFonts w:hint="cs"/>
          <w:spacing w:val="-2"/>
          <w:rtl/>
        </w:rPr>
        <w:t xml:space="preserve"> وبالطبع صدرت تعاليم بإعادة طباعة الردود على الكتاب أيضًا.</w:t>
      </w:r>
      <w:r w:rsidRPr="008C7124">
        <w:rPr>
          <w:rStyle w:val="Char"/>
          <w:rFonts w:ascii="Arabic11 BT" w:hAnsi="Arabic11 BT" w:cs="Arabic11 BT"/>
          <w:spacing w:val="-2"/>
          <w:vertAlign w:val="superscript"/>
          <w:rtl/>
        </w:rPr>
        <w:footnoteReference w:id="401"/>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وكتب جهاز السافاك في تقرير له حول الاشتباك بين فريقَيْ مؤيدي ومعارضي كتاب الشهيد الخالد يقول: لو فرضنا وقوع اصطدام بين الجناحين الموجودين فالمصلحة تقتضي أن لا تبادر شرطة الحي الذي يقع فيه التصادم إلى التدخل لفض الاشتباك بل على الشرطة أن تزيد من الاختلاف والفرقة بين الفريقين كي تتحقق الفائدة المطلوبة من هذا الأمر. </w:t>
      </w:r>
      <w:r w:rsidRPr="006E28E9">
        <w:rPr>
          <w:rStyle w:val="Char"/>
          <w:rFonts w:ascii="Arabic11 BT" w:hAnsi="Arabic11 BT" w:cs="Arabic11 BT"/>
          <w:vertAlign w:val="superscript"/>
          <w:rtl/>
        </w:rPr>
        <w:footnoteReference w:id="402"/>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وجاء في وثيقة أخرى من وثائق السافاك: «الرجاء إعطاء تعليمات بشأن إضعاف الطرفين (مؤيدي الخميني ومؤيدي الكلبايكاني) تقضي باتخاذ التدابير اللازمة لتوسعة الاختلاف بينهما وتعميقه ونيل المكتسبات اللازمة من هذا الاختلاف ثم إعلامنا بالنتيجة».</w:t>
      </w:r>
      <w:r w:rsidRPr="006E28E9">
        <w:rPr>
          <w:rStyle w:val="Char"/>
          <w:rFonts w:ascii="Arabic11 BT" w:hAnsi="Arabic11 BT" w:cs="Arabic11 BT"/>
          <w:vertAlign w:val="superscript"/>
          <w:rtl/>
        </w:rPr>
        <w:footnoteReference w:id="403"/>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ولابد من التأكيد على هذه النقطة وهي أن الدفاع عن كتاب الشهيد الخالد، بين عامة طلاب العلوم الدينية، كان يعد في الواقع دفاعًا عن الحركة الثورية، كما ينطبق الأمر ذاته على دفاعهم عن </w:t>
      </w:r>
      <w:r w:rsidRPr="0092648A">
        <w:rPr>
          <w:rStyle w:val="Char"/>
          <w:rFonts w:hint="cs"/>
          <w:rtl/>
        </w:rPr>
        <w:lastRenderedPageBreak/>
        <w:t>شريعتي، هذا في حين أنه على المستوى الأعلى كان علماء الحوزة البارزين، حتى الثوريين منهم، معارضين لكتاب الشهيد الخالد، وكمثال على ذلك يمكننا أن نشير إلى الردّ الذي كتبه السيد فاضل والمرحوم إشراقي - صهر المرحوم الإمام -.</w:t>
      </w:r>
      <w:r w:rsidRPr="006E28E9">
        <w:rPr>
          <w:rStyle w:val="Char"/>
          <w:rFonts w:ascii="Arabic11 BT" w:hAnsi="Arabic11 BT" w:cs="Arabic11 BT"/>
          <w:vertAlign w:val="superscript"/>
          <w:rtl/>
        </w:rPr>
        <w:footnoteReference w:id="404"/>
      </w:r>
      <w:r w:rsidRPr="0092648A">
        <w:rPr>
          <w:rStyle w:val="Char"/>
          <w:rFonts w:hint="cs"/>
          <w:rtl/>
        </w:rPr>
        <w:t xml:space="preserve"> وقيل إنه على الرغم من اختيار الإمام لموقف السكوت تجاه هذا الموضوع في تلك الأيام، إلا أن المرحوم الحاج السيد مصطفى الخميني كان يطرح - بعد إنهاء درس الإمام في الساحة الخارجية للمنزل- في تلك الأيام، أفكار كتاب الشهيد الخالد وينقدها نقدًا علميًّا. </w:t>
      </w:r>
      <w:r w:rsidRPr="006E28E9">
        <w:rPr>
          <w:rStyle w:val="Char"/>
          <w:rFonts w:ascii="Arabic11 BT" w:hAnsi="Arabic11 BT" w:cs="Arabic11 BT"/>
          <w:vertAlign w:val="superscript"/>
          <w:rtl/>
        </w:rPr>
        <w:footnoteReference w:id="405"/>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الأمر المسلم به أن كتاب الشهيد الخالد أوقع بين علماء الحوزة وفضلائها اختلافًا شديدًا. فعلى سبيل المثال بسبب مدح المنتظري لهذا الكتاب، وقع بين الشيخ المنتظري والشيخ حسين اللنكراني خلافٌ حوَّل الصداقة الحميمة التي كانت بينهما إلى نزاع حادّ.</w:t>
      </w:r>
      <w:r w:rsidRPr="006E28E9">
        <w:rPr>
          <w:rStyle w:val="Char"/>
          <w:rFonts w:ascii="Arabic11 BT" w:hAnsi="Arabic11 BT" w:cs="Arabic11 BT"/>
          <w:vertAlign w:val="superscript"/>
          <w:rtl/>
        </w:rPr>
        <w:footnoteReference w:id="406"/>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ومن الجهة الأخرى فإن التصور بأن فكرة كتاب الشهيد الخالد التي تسعى إلى إثبات أن هدف ثورة الإمام الحسين هو إنشاء حكم إسلامي، كان لها تأثير في الثورة أمر مشكوك به. في الواقع كان </w:t>
      </w:r>
      <w:r w:rsidRPr="008C7124">
        <w:rPr>
          <w:rStyle w:val="Char"/>
          <w:rFonts w:hint="cs"/>
          <w:spacing w:val="-4"/>
          <w:rtl/>
        </w:rPr>
        <w:t xml:space="preserve">لأفكار شريعتي وهاشمي نجاد في باب «الشهادة» وطرح الشهادة بوصفها هدف الإمام الحسين </w:t>
      </w:r>
      <w:r w:rsidR="00924380" w:rsidRPr="008C7124">
        <w:rPr>
          <w:rStyle w:val="Char"/>
          <w:rFonts w:cs="CTraditional Arabic" w:hint="cs"/>
          <w:spacing w:val="-4"/>
          <w:rtl/>
        </w:rPr>
        <w:t>÷</w:t>
      </w:r>
      <w:r w:rsidRPr="0092648A">
        <w:rPr>
          <w:rStyle w:val="Char"/>
          <w:rFonts w:hint="cs"/>
          <w:rtl/>
        </w:rPr>
        <w:t xml:space="preserve"> الأساسي من ثورته، تأثير في إيجاد التيارات الثورية قبل الثورة، وهذا بدليل الظروف الخاصة التي كانت تحكم أوضاع النضال ضد النظام في ذلك العهد.</w:t>
      </w:r>
      <w:r w:rsidRPr="006E28E9">
        <w:rPr>
          <w:rStyle w:val="Char"/>
          <w:rFonts w:ascii="Arabic11 BT" w:hAnsi="Arabic11 BT" w:cs="Arabic11 BT"/>
          <w:vertAlign w:val="superscript"/>
          <w:rtl/>
        </w:rPr>
        <w:footnoteReference w:id="407"/>
      </w:r>
      <w:r w:rsidRPr="0092648A">
        <w:rPr>
          <w:rStyle w:val="Char"/>
          <w:rFonts w:hint="cs"/>
          <w:rtl/>
        </w:rPr>
        <w:t xml:space="preserve"> وتعبيرات مثل عبارة «</w:t>
      </w:r>
      <w:r w:rsidRPr="0092648A">
        <w:rPr>
          <w:rStyle w:val="Char8"/>
          <w:rFonts w:hint="cs"/>
          <w:rtl/>
        </w:rPr>
        <w:t xml:space="preserve">شهر انتصار الدم </w:t>
      </w:r>
      <w:r w:rsidRPr="0092648A">
        <w:rPr>
          <w:rStyle w:val="Char8"/>
          <w:rFonts w:hint="cs"/>
          <w:rtl/>
        </w:rPr>
        <w:lastRenderedPageBreak/>
        <w:t>على الس</w:t>
      </w:r>
      <w:r w:rsidR="008C7124">
        <w:rPr>
          <w:rStyle w:val="Char8"/>
          <w:rFonts w:hint="cs"/>
          <w:rtl/>
        </w:rPr>
        <w:t>ی</w:t>
      </w:r>
      <w:r w:rsidRPr="0092648A">
        <w:rPr>
          <w:rStyle w:val="Char8"/>
          <w:rFonts w:hint="cs"/>
          <w:rtl/>
        </w:rPr>
        <w:t>ف</w:t>
      </w:r>
      <w:r w:rsidRPr="0092648A">
        <w:rPr>
          <w:rStyle w:val="Char"/>
          <w:rFonts w:hint="cs"/>
          <w:rtl/>
        </w:rPr>
        <w:t xml:space="preserve">» التي انتشرت بشأن شهر محرّم، لاسيما محرم سنة 1357 هـ.ش [1978م، وهي السنة التي قامت فيها الثورة] يدل على هذا النمط من التفكير. وعلى كل حال ينبغي ألا نعتقد بوجود </w:t>
      </w:r>
      <w:r w:rsidRPr="008C7124">
        <w:rPr>
          <w:rStyle w:val="Char"/>
          <w:rFonts w:hint="cs"/>
          <w:spacing w:val="-4"/>
          <w:rtl/>
        </w:rPr>
        <w:t>تعارض كلي بين كتاب الشهيد الخالد وأفكار الدكتور شريعتي التي ذكر فيها أن هدف الإمام الحسين</w:t>
      </w:r>
      <w:r w:rsidR="00924380" w:rsidRPr="008C7124">
        <w:rPr>
          <w:rStyle w:val="Char"/>
          <w:rFonts w:cs="CTraditional Arabic" w:hint="cs"/>
          <w:spacing w:val="-4"/>
          <w:rtl/>
        </w:rPr>
        <w:t>÷</w:t>
      </w:r>
      <w:r w:rsidRPr="0092648A">
        <w:rPr>
          <w:rStyle w:val="Char"/>
          <w:rFonts w:hint="cs"/>
          <w:rtl/>
        </w:rPr>
        <w:t xml:space="preserve"> من ثورته وصوله إلى «الشهادة». فالمهم هو أن كلاً منهما [صالحي وشريعتي] قدّم تحليلاً سياسيًّا لعاشوراء وكان كلاهما يسعيان وراء هدف واحد.</w:t>
      </w:r>
    </w:p>
    <w:p w:rsidR="00DA6CFB" w:rsidRPr="0092648A" w:rsidRDefault="00DA6CFB" w:rsidP="0092648A">
      <w:pPr>
        <w:widowControl w:val="0"/>
        <w:spacing w:line="216" w:lineRule="auto"/>
        <w:ind w:firstLine="284"/>
        <w:jc w:val="both"/>
        <w:rPr>
          <w:rStyle w:val="Char"/>
          <w:rtl/>
        </w:rPr>
      </w:pPr>
      <w:r w:rsidRPr="0092648A">
        <w:rPr>
          <w:rStyle w:val="Char"/>
          <w:rFonts w:hint="cs"/>
          <w:rtl/>
        </w:rPr>
        <w:t>وعلى كل حال، فإن أحد الأهداف الأساسية لكتاب الشهيد الخالد كان تسييس ثورة عاشوراء والذي حظي فيما بعد بتأكيد الثورة الإسلامية عليه واهتمامها.</w:t>
      </w:r>
      <w:r w:rsidRPr="006E28E9">
        <w:rPr>
          <w:rStyle w:val="Char"/>
          <w:rFonts w:ascii="Arabic11 BT" w:hAnsi="Arabic11 BT" w:cs="Arabic11 BT"/>
          <w:vertAlign w:val="superscript"/>
          <w:rtl/>
        </w:rPr>
        <w:footnoteReference w:id="408"/>
      </w:r>
      <w:r w:rsidRPr="0092648A">
        <w:rPr>
          <w:rStyle w:val="Char"/>
          <w:rFonts w:hint="cs"/>
          <w:rtl/>
        </w:rPr>
        <w:t xml:space="preserve"> هذا في حين أنه في التفكير التقليدي </w:t>
      </w:r>
      <w:r w:rsidRPr="0092648A">
        <w:rPr>
          <w:rStyle w:val="Char"/>
          <w:rFonts w:hint="cs"/>
          <w:rtl/>
        </w:rPr>
        <w:lastRenderedPageBreak/>
        <w:t>السائد بين عوام الناس لم يكن هناك اهتمام بهذا الجانب لعاشوراء، بل كان الناس لا يهتمون سوى بالبعد المعنوي والعرفاني لتلك الواقعة. وفي هذا المجال لابد من تفسير اعتراض الأستاذ مطهري على بعض ما جاء في كتاب الشهيد الخالد بأمور خارجة عن هذا الإطار. فهناك، لم يكن اعتراض الأستاذ مطهري على بُعْد تسييس ثورة عاشوراء، بل اعترض على ذكر بعض الأمور التي لا تنسجم -حسب رأي الأستاذ مطهري- مع الآراء التاريخية المتداولة عادة ومع ما يعتقده مجتمع الشيعة. وقد وُجِّهَت انتقاداتٌ أخرى أيضًا إلى كتاب الشهيد الخالد في كُتَب ألفها آخرون في نقد ذلك الكتاب، منها مثلاً ما كتبه آية الله صافي الكلبايكاني وآخرون.</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هناك نقطة أخرى اهتم بها محللو السافاك في ذلك الزمن وهي العلاقة بين كتاب الشهيد الخالد والثورة الإسلامية، وذلك من الزاوية الآتية: كان هناك سؤال يُطرح دائمًا وهو ماذا كانت نتيجة معارضة (السيد) الخميني وثورته؟ ألم تكن زوال احترام الناس لعلماء الدين وصيرورة كثير من الأسر بلا معيل؟! ولكي يتمكن الثوَّار من الإجابة عن هذا السؤال كان يُقَال (استنادًا إلى كتاب الشهيد الخالد): إن الإمام الحسين أيضًا لم يكن قادرًا على التنبؤ بنتيجة ثورته، ولهذا السبب استشهد </w:t>
      </w:r>
      <w:r w:rsidRPr="0092648A">
        <w:rPr>
          <w:rStyle w:val="Char"/>
          <w:rFonts w:hint="cs"/>
          <w:rtl/>
        </w:rPr>
        <w:lastRenderedPageBreak/>
        <w:t xml:space="preserve">هو وأصحابه، فكما لا يمكن انتقاد عمل الإمام الحسين </w:t>
      </w:r>
      <w:r w:rsidR="00924380" w:rsidRPr="00924380">
        <w:rPr>
          <w:rStyle w:val="Char"/>
          <w:rFonts w:cs="CTraditional Arabic" w:hint="cs"/>
          <w:rtl/>
        </w:rPr>
        <w:t>÷</w:t>
      </w:r>
      <w:r w:rsidRPr="0092648A">
        <w:rPr>
          <w:rStyle w:val="Char"/>
          <w:rFonts w:hint="cs"/>
          <w:rtl/>
        </w:rPr>
        <w:t xml:space="preserve"> كذلك لا ينبغي علينا أن ننتقد (الإمام) الخميني.</w:t>
      </w:r>
      <w:r w:rsidRPr="006E28E9">
        <w:rPr>
          <w:rStyle w:val="Char"/>
          <w:rFonts w:ascii="Arabic11 BT" w:hAnsi="Arabic11 BT" w:cs="Arabic11 BT"/>
          <w:vertAlign w:val="superscript"/>
          <w:rtl/>
        </w:rPr>
        <w:footnoteReference w:id="409"/>
      </w:r>
      <w:r w:rsidRPr="0092648A">
        <w:rPr>
          <w:rStyle w:val="Char"/>
          <w:rFonts w:hint="cs"/>
          <w:rtl/>
        </w:rPr>
        <w:t xml:space="preserve"> هذا إضافةً إلى أن الكتاب يؤكد على أن هدف الإمام الحسين </w:t>
      </w:r>
      <w:r w:rsidR="00924380" w:rsidRPr="00924380">
        <w:rPr>
          <w:rStyle w:val="Char"/>
          <w:rFonts w:cs="CTraditional Arabic" w:hint="cs"/>
          <w:rtl/>
        </w:rPr>
        <w:t>÷</w:t>
      </w:r>
      <w:r w:rsidRPr="0092648A">
        <w:rPr>
          <w:rStyle w:val="Char"/>
          <w:rFonts w:hint="cs"/>
          <w:rtl/>
        </w:rPr>
        <w:t xml:space="preserve"> من ثورته كان تأسيس حكومة إسلامية، وهو الهدف الذي أعلنه الإمام الخميني لثورته، لاسيما منذ سنة 1348 هـ.ش [1969م] فما بعد، أي في الزمن المقارن تقريباً لانتشار كتاب الشهيد الخالد.</w:t>
      </w:r>
      <w:r w:rsidRPr="006E28E9">
        <w:rPr>
          <w:rStyle w:val="Char"/>
          <w:rFonts w:ascii="Arabic11 BT" w:hAnsi="Arabic11 BT" w:cs="Arabic11 BT"/>
          <w:vertAlign w:val="superscript"/>
          <w:rtl/>
        </w:rPr>
        <w:footnoteReference w:id="410"/>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كانت هذه النقطة مهمة بالنسبة إلى بعض مسؤولي الأمن والمخابرات (السافاك) وهي أن كتاب الشهيد الخالد يحرّض على الثورة الإسلامية ويقويها ولذلك لابد من منعه، ولكن كان هناك في جهاز السافاك تحليل آخر يرى أولاً إن مقارنة ثورة الإمام الحسين </w:t>
      </w:r>
      <w:r w:rsidR="00924380" w:rsidRPr="00924380">
        <w:rPr>
          <w:rStyle w:val="Char"/>
          <w:rFonts w:cs="CTraditional Arabic" w:hint="cs"/>
          <w:rtl/>
        </w:rPr>
        <w:t>÷</w:t>
      </w:r>
      <w:r w:rsidRPr="0092648A">
        <w:rPr>
          <w:rStyle w:val="Char"/>
          <w:rFonts w:hint="cs"/>
          <w:rtl/>
        </w:rPr>
        <w:t xml:space="preserve"> بحركة (الإمام) الخميني، أمر سيئ وغير مقبول وسبب في إضعاف الثورة الإسلامية في أذهان المتدينين. والنقطة الأخرى أنه لما كان محتوى كتاب الشهيد الخالد لا يحظى بتأييد أكثرية المؤمنين، فإن هذا بحد ذاته يوجِّه ضربة أخرى لثورة (السيد) الخميني. والأمر الثالث أنه صحيح أنّ كتاب الشهيد الخالد يحظى بتأييد أنصار شريعتي، لكن هذه النقطة التي سيستنتجها الناس ستكون مثيرة للاهتمام وهي أن معارضي حسينية الإرشاد الذين يتهمونها بالدفاع عن الوهابيين وتأييدهم، سوف يتخذون موقفًا معاديًا أيضًا لكتاب الشهيد الخالد، والنتيجة هي إضعاف موقف الثورة الإسلامية. ويؤكد السافاك قائلاً: «إن كتاب الشهيد الخالد بحد ذاته يمكنه أن يفضح النظريات والأهداف المنحرفة لِـ (السيد) الخميني وأنصاره، ويثير موجة جديدة من المعاداة لأنصار الخميني لأن محتويات هذا الكتاب تتنافى مع عقائد عامَّة الناس وعقائد أكثرية علماء الدين وطلاب العلوم الدينية، وهذا التقرير يؤكد أن وجود علاقة بين قضية كتاب الشهيد الخالد وقتل شمس آبادي وغيره من عمليات الاغتيال غير الإنسانية التي قام بها أنصار كتاب الشهيد الخالد في قهدريجان يوجِّه ضربة أخرى لمنزلة الثورة الإسلامية». ويستنتج المدير العام للإدارة الثالثة لجهاز السافاك أنه لا تبدو هناك مصلحة في منع طباعة هذا الكتاب وتوزيعه بسبب هذه النتائج التي يوجدها».</w:t>
      </w:r>
      <w:r w:rsidRPr="006E28E9">
        <w:rPr>
          <w:rStyle w:val="Char"/>
          <w:rFonts w:ascii="Arabic11 BT" w:hAnsi="Arabic11 BT" w:cs="Arabic11 BT"/>
          <w:vertAlign w:val="superscript"/>
          <w:rtl/>
        </w:rPr>
        <w:footnoteReference w:id="411"/>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وعلى كل حال في السنوات 1349 و 1350 هـ.ش [1970-1971م] هاجمت الأوساط الدينية و خطباء المنابر في المآتم الحسينية ومجالس قراءة مصائب آل البيت كلهم هذا الكتاب وأقدم عديدٌ من </w:t>
      </w:r>
      <w:r w:rsidRPr="0092648A">
        <w:rPr>
          <w:rStyle w:val="Char"/>
          <w:rFonts w:hint="cs"/>
          <w:rtl/>
        </w:rPr>
        <w:lastRenderedPageBreak/>
        <w:t>الكُتَّاب، من درجات علمية متفاوتة، على كتابة نقد له. كان بعض معارضي الكتاب يسعون أحيانًا إلى إثبات تأثر مؤلفه - على نحوٍ من الأنحاء- بالتيارات الوهَّابية، مما شرحناه سابقًا.</w:t>
      </w:r>
    </w:p>
    <w:p w:rsidR="00DA6CFB" w:rsidRPr="0092648A" w:rsidRDefault="00DA6CFB" w:rsidP="0092648A">
      <w:pPr>
        <w:widowControl w:val="0"/>
        <w:spacing w:line="216" w:lineRule="auto"/>
        <w:ind w:firstLine="284"/>
        <w:jc w:val="both"/>
        <w:rPr>
          <w:rStyle w:val="Char"/>
          <w:rtl/>
        </w:rPr>
      </w:pPr>
      <w:r w:rsidRPr="0092648A">
        <w:rPr>
          <w:rStyle w:val="Char"/>
          <w:rFonts w:hint="cs"/>
          <w:rtl/>
        </w:rPr>
        <w:t>أعرب الشيخ المنتظري من منفاه في طبس سنة 1393 هـ.ق/ 1352 هـ.ش عن قلقه بشأن الاختلاف الذي وقع بين العلماء والفضلاء بشأن كتاب الشهيد الخالد وقال في هذا الصدد: «في الأيام الأخيرة بدأ يدور على الألسن في قم وطهران وأصفهان وبعض المناطق الأخرى اتهام بعض العلماء والفضلاء الأبرياء بالتسنُّن والوهَّابيَّة، و وصل الأمر إلى درجة قيام بعض المتحمّسين ممن هم أكثر مَلَكِيَّةً من المَلِكِ بالتفوُّه بأقوال والقيام بأعمال [مشينة] باسم الدفاع عن الولاية والتشيُّع».</w:t>
      </w:r>
      <w:r w:rsidRPr="006E28E9">
        <w:rPr>
          <w:rStyle w:val="Char"/>
          <w:rFonts w:ascii="Arabic11 BT" w:hAnsi="Arabic11 BT" w:cs="Arabic11 BT"/>
          <w:vertAlign w:val="superscript"/>
          <w:rtl/>
        </w:rPr>
        <w:footnoteReference w:id="412"/>
      </w:r>
      <w:r w:rsidRPr="0092648A">
        <w:rPr>
          <w:rStyle w:val="Char"/>
          <w:rFonts w:hint="cs"/>
          <w:rtl/>
        </w:rPr>
        <w:t xml:space="preserve"> والنقطة المثيرة للانتباه أنه بعد أن قويت بعض الاتجاهات المشار إليها تجاه الحركات شبه الوهابية، وصلت رسالة من طرف الإمام حول هذا الأمر. يقول الشيخ المنتظري مشيراً إلى أن أحدهم أعطاه تلك الرسالة عندما كان في السجن، أنه أخفى الرسالة ولم يُطْلِع أحدًا عليها وقال المنتظري: «وضعتُ الرسالة تحت الفراش ولم أبرزها لأحد وتعجبت كيف يكتب آية الله الخميني مثل هذه الرسالة في مثل هذه الظروف».</w:t>
      </w:r>
      <w:r w:rsidRPr="006E28E9">
        <w:rPr>
          <w:rStyle w:val="Char"/>
          <w:rFonts w:ascii="Arabic11 BT" w:hAnsi="Arabic11 BT" w:cs="Arabic11 BT"/>
          <w:vertAlign w:val="superscript"/>
          <w:rtl/>
        </w:rPr>
        <w:footnoteReference w:id="413"/>
      </w:r>
      <w:r w:rsidRPr="0092648A">
        <w:rPr>
          <w:rStyle w:val="Char"/>
          <w:rFonts w:hint="cs"/>
          <w:rtl/>
        </w:rPr>
        <w:t xml:space="preserve"> في الاحتمال الغالب كانت تلك الرسالة تتضمن نوعا من منع الشيخ المنتظري من تأييد كتاب الشهيد الخالد.</w:t>
      </w:r>
    </w:p>
    <w:p w:rsidR="00DA6CFB" w:rsidRPr="0092648A" w:rsidRDefault="00DA6CFB" w:rsidP="0092648A">
      <w:pPr>
        <w:widowControl w:val="0"/>
        <w:spacing w:line="216" w:lineRule="auto"/>
        <w:ind w:firstLine="284"/>
        <w:jc w:val="both"/>
        <w:rPr>
          <w:rStyle w:val="Char"/>
          <w:rtl/>
        </w:rPr>
      </w:pPr>
      <w:r w:rsidRPr="0092648A">
        <w:rPr>
          <w:rStyle w:val="Char"/>
          <w:rFonts w:hint="cs"/>
          <w:rtl/>
        </w:rPr>
        <w:t>ومن الجهة الأخرى، لا شك أن التيار الذي كان يُعْرَف في قم باسم التيار الولائي، كان تيارًا متطرفًا ومغاليًا، وخلق متاعب ومصاعب للثورة، هذا على الرغم من أن المواجهة التي كانت تتم ضده في بعض الأحيان لم تكن تتمتع برصيد ودعمٍ معقول شأنها في ذلك شأن ذلك التيار الولائي ذاته، ولم يكن الطرفان واعيين للمرحلة التاريخية لحركتهما.</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كثير من الذين كتبوا بنحوٍ من الأنحاء في الردّ على كتاب الشهيد الخالد كانوا من علماء ذلك الزمن الأعلام ويمكننا أن نشير منهم إلى الأشخاص الآتين: 1) آية الله رفيعي القزويني في نصٍّ يتكون من صفحتين؛ 2) العلامة الطباطبائي في رسالة «بحث مختصر حول علم الإمام»؛</w:t>
      </w:r>
      <w:r w:rsidRPr="006E28E9">
        <w:rPr>
          <w:rStyle w:val="Char"/>
          <w:rFonts w:ascii="Arabic11 BT" w:hAnsi="Arabic11 BT" w:cs="Arabic11 BT"/>
          <w:vertAlign w:val="superscript"/>
          <w:rtl/>
        </w:rPr>
        <w:footnoteReference w:id="414"/>
      </w:r>
      <w:r w:rsidRPr="0092648A">
        <w:rPr>
          <w:rStyle w:val="Char"/>
          <w:rFonts w:hint="cs"/>
          <w:rtl/>
        </w:rPr>
        <w:t xml:space="preserve"> 3) آية الله الفاضل والمرحوم الإشراقي [صهر الإمام الخميني] في كتاب «</w:t>
      </w:r>
      <w:r w:rsidRPr="0092648A">
        <w:rPr>
          <w:rStyle w:val="Char8"/>
          <w:rFonts w:hint="cs"/>
          <w:rtl/>
        </w:rPr>
        <w:t>پاسداران وح</w:t>
      </w:r>
      <w:r w:rsidR="008C7124">
        <w:rPr>
          <w:rStyle w:val="Char8"/>
          <w:rFonts w:hint="cs"/>
          <w:rtl/>
        </w:rPr>
        <w:t>ی</w:t>
      </w:r>
      <w:r w:rsidRPr="0092648A">
        <w:rPr>
          <w:rStyle w:val="Char"/>
          <w:rFonts w:hint="eastAsia"/>
          <w:rtl/>
        </w:rPr>
        <w:t>»</w:t>
      </w:r>
      <w:r w:rsidRPr="0092648A">
        <w:rPr>
          <w:rStyle w:val="Char"/>
          <w:rFonts w:hint="cs"/>
          <w:rtl/>
        </w:rPr>
        <w:t xml:space="preserve"> [حُرَّاس الوحي]؛ 4) السيد أحمد الفهري الزنجاني في كتاب </w:t>
      </w:r>
      <w:r w:rsidRPr="0092648A">
        <w:rPr>
          <w:rStyle w:val="Char"/>
          <w:rFonts w:hint="eastAsia"/>
          <w:rtl/>
        </w:rPr>
        <w:t>«</w:t>
      </w:r>
      <w:r w:rsidRPr="0092648A">
        <w:rPr>
          <w:rStyle w:val="Char8"/>
          <w:rFonts w:hint="cs"/>
          <w:rtl/>
        </w:rPr>
        <w:t>سالار شه</w:t>
      </w:r>
      <w:r w:rsidR="008C7124">
        <w:rPr>
          <w:rStyle w:val="Char8"/>
          <w:rFonts w:hint="cs"/>
          <w:rtl/>
        </w:rPr>
        <w:t>ی</w:t>
      </w:r>
      <w:r w:rsidRPr="0092648A">
        <w:rPr>
          <w:rStyle w:val="Char8"/>
          <w:rFonts w:hint="cs"/>
          <w:rtl/>
        </w:rPr>
        <w:t>دان</w:t>
      </w:r>
      <w:r w:rsidRPr="0092648A">
        <w:rPr>
          <w:rStyle w:val="Char"/>
          <w:rFonts w:hint="eastAsia"/>
          <w:rtl/>
        </w:rPr>
        <w:t>»</w:t>
      </w:r>
      <w:r w:rsidRPr="0092648A">
        <w:rPr>
          <w:rStyle w:val="Char"/>
          <w:rFonts w:hint="cs"/>
          <w:rtl/>
        </w:rPr>
        <w:t xml:space="preserve"> [سيد الشهداء]؛ 5) السيد محمد مهدي </w:t>
      </w:r>
      <w:r w:rsidRPr="0092648A">
        <w:rPr>
          <w:rStyle w:val="Char"/>
          <w:rFonts w:hint="cs"/>
          <w:rtl/>
        </w:rPr>
        <w:lastRenderedPageBreak/>
        <w:t xml:space="preserve">مرتضوي في كتاب </w:t>
      </w:r>
      <w:r w:rsidRPr="0092648A">
        <w:rPr>
          <w:rStyle w:val="Char"/>
          <w:rFonts w:hint="eastAsia"/>
          <w:rtl/>
        </w:rPr>
        <w:t>«</w:t>
      </w:r>
      <w:r w:rsidR="008C7124">
        <w:rPr>
          <w:rStyle w:val="Char8"/>
          <w:rFonts w:hint="cs"/>
          <w:rtl/>
        </w:rPr>
        <w:t>ی</w:t>
      </w:r>
      <w:r w:rsidRPr="0092648A">
        <w:rPr>
          <w:rStyle w:val="Char8"/>
          <w:rFonts w:hint="cs"/>
          <w:rtl/>
        </w:rPr>
        <w:t>ک تحق</w:t>
      </w:r>
      <w:r w:rsidR="008C7124">
        <w:rPr>
          <w:rStyle w:val="Char8"/>
          <w:rFonts w:hint="cs"/>
          <w:rtl/>
        </w:rPr>
        <w:t>ی</w:t>
      </w:r>
      <w:r w:rsidRPr="0092648A">
        <w:rPr>
          <w:rStyle w:val="Char8"/>
          <w:rFonts w:hint="cs"/>
          <w:rtl/>
        </w:rPr>
        <w:t>ق عم</w:t>
      </w:r>
      <w:r w:rsidR="008C7124">
        <w:rPr>
          <w:rStyle w:val="Char8"/>
          <w:rFonts w:hint="cs"/>
          <w:rtl/>
        </w:rPr>
        <w:t>ی</w:t>
      </w:r>
      <w:r w:rsidRPr="0092648A">
        <w:rPr>
          <w:rStyle w:val="Char8"/>
          <w:rFonts w:hint="cs"/>
          <w:rtl/>
        </w:rPr>
        <w:t>ق‌تر در موضوع ق</w:t>
      </w:r>
      <w:r w:rsidR="008C7124">
        <w:rPr>
          <w:rStyle w:val="Char8"/>
          <w:rFonts w:hint="cs"/>
          <w:rtl/>
        </w:rPr>
        <w:t>ی</w:t>
      </w:r>
      <w:r w:rsidRPr="0092648A">
        <w:rPr>
          <w:rStyle w:val="Char8"/>
          <w:rFonts w:hint="cs"/>
          <w:rtl/>
        </w:rPr>
        <w:t>ام امام حس</w:t>
      </w:r>
      <w:r w:rsidR="008C7124">
        <w:rPr>
          <w:rStyle w:val="Char8"/>
          <w:rFonts w:hint="cs"/>
          <w:rtl/>
        </w:rPr>
        <w:t>ی</w:t>
      </w:r>
      <w:r w:rsidRPr="0092648A">
        <w:rPr>
          <w:rStyle w:val="Char8"/>
          <w:rFonts w:hint="cs"/>
          <w:rtl/>
        </w:rPr>
        <w:t xml:space="preserve">ن </w:t>
      </w:r>
      <w:r w:rsidR="00924380" w:rsidRPr="008C7124">
        <w:rPr>
          <w:rStyle w:val="Char8"/>
          <w:rFonts w:cs="CTraditional Arabic" w:hint="cs"/>
          <w:b w:val="0"/>
          <w:bCs w:val="0"/>
          <w:sz w:val="28"/>
          <w:szCs w:val="28"/>
          <w:rtl/>
        </w:rPr>
        <w:t>÷</w:t>
      </w:r>
      <w:r w:rsidRPr="0092648A">
        <w:rPr>
          <w:rStyle w:val="Char8"/>
          <w:rFonts w:hint="cs"/>
          <w:rtl/>
        </w:rPr>
        <w:t>»</w:t>
      </w:r>
      <w:r w:rsidRPr="0092648A">
        <w:rPr>
          <w:rStyle w:val="Char"/>
          <w:rFonts w:hint="cs"/>
          <w:rtl/>
        </w:rPr>
        <w:t xml:space="preserve"> [تحقيق أعمق حول موضوع ثورة الإمام الحسين]؛ 6) رضا استادي في كتاب </w:t>
      </w:r>
      <w:r w:rsidRPr="0092648A">
        <w:rPr>
          <w:rStyle w:val="Char"/>
          <w:rFonts w:hint="eastAsia"/>
          <w:rtl/>
        </w:rPr>
        <w:t>«</w:t>
      </w:r>
      <w:r w:rsidRPr="0092648A">
        <w:rPr>
          <w:rStyle w:val="Char8"/>
          <w:rFonts w:hint="cs"/>
          <w:rtl/>
        </w:rPr>
        <w:t xml:space="preserve">بررسى قسمتى از </w:t>
      </w:r>
      <w:r w:rsidR="008C7124">
        <w:rPr>
          <w:rStyle w:val="Char8"/>
          <w:rFonts w:hint="cs"/>
          <w:rtl/>
        </w:rPr>
        <w:t>ک</w:t>
      </w:r>
      <w:r w:rsidRPr="0092648A">
        <w:rPr>
          <w:rStyle w:val="Char8"/>
          <w:rFonts w:hint="cs"/>
          <w:rtl/>
        </w:rPr>
        <w:t>تاب 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w:t>
      </w:r>
      <w:r w:rsidRPr="0092648A">
        <w:rPr>
          <w:rStyle w:val="Char"/>
          <w:rFonts w:hint="eastAsia"/>
          <w:rtl/>
        </w:rPr>
        <w:t>»</w:t>
      </w:r>
      <w:r w:rsidRPr="0092648A">
        <w:rPr>
          <w:rStyle w:val="Char"/>
          <w:rFonts w:hint="cs"/>
          <w:rtl/>
        </w:rPr>
        <w:t xml:space="preserve"> [دراسة جزء من كتاب الشهيد الخالد] (لاحظوا شرحاً مفصّلاً لوجهات نظره ووجهات نظر آخرين في كتابٍ طبع مؤخَّرًا بعنوان: قصة كتاب الشهيد الخالد)، 7) وكذلك آية الله صافي الكلبايكاني في كتاب «</w:t>
      </w:r>
      <w:r w:rsidRPr="0092648A">
        <w:rPr>
          <w:rStyle w:val="Char8"/>
          <w:rFonts w:hint="cs"/>
          <w:rtl/>
        </w:rPr>
        <w:t>شه</w:t>
      </w:r>
      <w:r w:rsidR="008C7124">
        <w:rPr>
          <w:rStyle w:val="Char8"/>
          <w:rFonts w:hint="cs"/>
          <w:rtl/>
        </w:rPr>
        <w:t>ی</w:t>
      </w:r>
      <w:r w:rsidRPr="0092648A">
        <w:rPr>
          <w:rStyle w:val="Char8"/>
          <w:rFonts w:hint="cs"/>
          <w:rtl/>
        </w:rPr>
        <w:t>د آگاه</w:t>
      </w:r>
      <w:r w:rsidRPr="0092648A">
        <w:rPr>
          <w:rStyle w:val="Char"/>
          <w:rFonts w:hint="cs"/>
          <w:rtl/>
        </w:rPr>
        <w:t>» [الشهيد العالِم]، ويُعْتَبَر الكتاب الأخير أقوى نقد علمي لكتاب الشهيد الخالد والأكثر تفصيلاً في نقده، ولذلك قام مؤلف كتاب الشهيد الخالد بالرد عليه مؤخَّرًا، وجعل ردّه هذا ملحقًا بآخر الطبعات التالية لكتابه الشهيد الخالد. ومن الكتب الأخرى التي ذَكَرَ [آية الله] رضا استادي أنها أُلِّفَت في الردّ على كتاب الشهيد الخالد:</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8) </w:t>
      </w:r>
      <w:r w:rsidRPr="0092648A">
        <w:rPr>
          <w:rStyle w:val="Char8"/>
          <w:rFonts w:hint="cs"/>
          <w:rtl/>
        </w:rPr>
        <w:t>پرتو حق</w:t>
      </w:r>
      <w:r w:rsidR="008C7124">
        <w:rPr>
          <w:rStyle w:val="Char8"/>
          <w:rFonts w:hint="cs"/>
          <w:rtl/>
        </w:rPr>
        <w:t>ی</w:t>
      </w:r>
      <w:r w:rsidRPr="0092648A">
        <w:rPr>
          <w:rStyle w:val="Char8"/>
          <w:rFonts w:hint="cs"/>
          <w:rtl/>
        </w:rPr>
        <w:t>قت</w:t>
      </w:r>
      <w:r w:rsidRPr="0092648A">
        <w:rPr>
          <w:rStyle w:val="Char"/>
          <w:rFonts w:hint="cs"/>
          <w:rtl/>
        </w:rPr>
        <w:t xml:space="preserve"> [شعاع الحقيقة]، السيد محمد نوري الموسوي (أصفهان- حسينية عماد زادة، في 48 صفحة).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9) </w:t>
      </w:r>
      <w:r w:rsidRPr="0092648A">
        <w:rPr>
          <w:rStyle w:val="Char8"/>
          <w:rFonts w:hint="cs"/>
          <w:rtl/>
        </w:rPr>
        <w:t>رسال</w:t>
      </w:r>
      <w:r w:rsidR="008C7124">
        <w:rPr>
          <w:rStyle w:val="Char8"/>
          <w:rFonts w:hint="cs"/>
          <w:rtl/>
        </w:rPr>
        <w:t>ۀ</w:t>
      </w:r>
      <w:r w:rsidRPr="0092648A">
        <w:rPr>
          <w:rStyle w:val="Char8"/>
          <w:rFonts w:hint="cs"/>
          <w:rtl/>
        </w:rPr>
        <w:t xml:space="preserve"> آ</w:t>
      </w:r>
      <w:r w:rsidR="008C7124">
        <w:rPr>
          <w:rStyle w:val="Char8"/>
          <w:rFonts w:hint="cs"/>
          <w:rtl/>
        </w:rPr>
        <w:t>یۀ</w:t>
      </w:r>
      <w:r w:rsidRPr="0092648A">
        <w:rPr>
          <w:rStyle w:val="Char8"/>
          <w:rFonts w:hint="cs"/>
          <w:rtl/>
        </w:rPr>
        <w:t xml:space="preserve"> الله الحاج الش</w:t>
      </w:r>
      <w:r w:rsidR="008C7124">
        <w:rPr>
          <w:rStyle w:val="Char8"/>
          <w:rFonts w:hint="cs"/>
          <w:rtl/>
        </w:rPr>
        <w:t>ی</w:t>
      </w:r>
      <w:r w:rsidRPr="0092648A">
        <w:rPr>
          <w:rStyle w:val="Char8"/>
          <w:rFonts w:hint="cs"/>
          <w:rtl/>
        </w:rPr>
        <w:t xml:space="preserve">خ محمد </w:t>
      </w:r>
      <w:r w:rsidR="008C7124">
        <w:rPr>
          <w:rStyle w:val="Char8"/>
          <w:rFonts w:hint="cs"/>
          <w:rtl/>
        </w:rPr>
        <w:t>ک</w:t>
      </w:r>
      <w:r w:rsidRPr="0092648A">
        <w:rPr>
          <w:rStyle w:val="Char8"/>
          <w:rFonts w:hint="cs"/>
          <w:rtl/>
        </w:rPr>
        <w:t>رم</w:t>
      </w:r>
      <w:r w:rsidR="008C7124">
        <w:rPr>
          <w:rStyle w:val="Char8"/>
          <w:rFonts w:hint="cs"/>
          <w:rtl/>
        </w:rPr>
        <w:t>ی</w:t>
      </w:r>
      <w:r w:rsidRPr="0092648A">
        <w:rPr>
          <w:rStyle w:val="Char"/>
          <w:rFonts w:hint="cs"/>
          <w:rtl/>
        </w:rPr>
        <w:t xml:space="preserve"> (ألحقت بالجزء الثاني لشرحه لكتاب نهج البلاغة).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10) </w:t>
      </w:r>
      <w:r w:rsidRPr="0092648A">
        <w:rPr>
          <w:rStyle w:val="Char8"/>
          <w:rFonts w:hint="cs"/>
          <w:rtl/>
        </w:rPr>
        <w:t>حس</w:t>
      </w:r>
      <w:r w:rsidR="008C7124">
        <w:rPr>
          <w:rStyle w:val="Char8"/>
          <w:rFonts w:hint="cs"/>
          <w:rtl/>
        </w:rPr>
        <w:t>ی</w:t>
      </w:r>
      <w:r w:rsidRPr="0092648A">
        <w:rPr>
          <w:rStyle w:val="Char8"/>
          <w:rFonts w:hint="cs"/>
          <w:rtl/>
        </w:rPr>
        <w:t>ن وپذ</w:t>
      </w:r>
      <w:r w:rsidR="008C7124">
        <w:rPr>
          <w:rStyle w:val="Char8"/>
          <w:rFonts w:hint="cs"/>
          <w:rtl/>
        </w:rPr>
        <w:t>ی</w:t>
      </w:r>
      <w:r w:rsidRPr="0092648A">
        <w:rPr>
          <w:rStyle w:val="Char8"/>
          <w:rFonts w:hint="cs"/>
          <w:rtl/>
        </w:rPr>
        <w:t>رش دعوت</w:t>
      </w:r>
      <w:r w:rsidRPr="0092648A">
        <w:rPr>
          <w:rStyle w:val="Char"/>
          <w:rFonts w:hint="cs"/>
          <w:rtl/>
        </w:rPr>
        <w:t xml:space="preserve"> [الحسين وقبول الدعوة]، محمد تقي صديقين أصفهاني (انتشار، في سنة 1351 هـ.ش).</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11) </w:t>
      </w:r>
      <w:r w:rsidR="008C7124">
        <w:rPr>
          <w:rStyle w:val="Char8"/>
          <w:rFonts w:hint="cs"/>
          <w:rtl/>
        </w:rPr>
        <w:t>ی</w:t>
      </w:r>
      <w:r w:rsidRPr="0092648A">
        <w:rPr>
          <w:rStyle w:val="Char8"/>
          <w:rFonts w:hint="cs"/>
          <w:rtl/>
        </w:rPr>
        <w:t>ک بررسى مختصر پ</w:t>
      </w:r>
      <w:r w:rsidR="008C7124">
        <w:rPr>
          <w:rStyle w:val="Char8"/>
          <w:rFonts w:hint="cs"/>
          <w:rtl/>
        </w:rPr>
        <w:t>ی</w:t>
      </w:r>
      <w:r w:rsidRPr="0092648A">
        <w:rPr>
          <w:rStyle w:val="Char8"/>
          <w:rFonts w:hint="cs"/>
          <w:rtl/>
        </w:rPr>
        <w:t>رامون ق</w:t>
      </w:r>
      <w:r w:rsidR="008C7124">
        <w:rPr>
          <w:rStyle w:val="Char8"/>
          <w:rFonts w:hint="cs"/>
          <w:rtl/>
        </w:rPr>
        <w:t>ی</w:t>
      </w:r>
      <w:r w:rsidRPr="0092648A">
        <w:rPr>
          <w:rStyle w:val="Char8"/>
          <w:rFonts w:hint="cs"/>
          <w:rtl/>
        </w:rPr>
        <w:t>ام مقدس شه</w:t>
      </w:r>
      <w:r w:rsidR="008C7124">
        <w:rPr>
          <w:rStyle w:val="Char8"/>
          <w:rFonts w:hint="cs"/>
          <w:rtl/>
        </w:rPr>
        <w:t>ی</w:t>
      </w:r>
      <w:r w:rsidRPr="0092648A">
        <w:rPr>
          <w:rStyle w:val="Char8"/>
          <w:rFonts w:hint="cs"/>
          <w:rtl/>
        </w:rPr>
        <w:t>د جاو</w:t>
      </w:r>
      <w:r w:rsidR="008C7124">
        <w:rPr>
          <w:rStyle w:val="Char8"/>
          <w:rFonts w:hint="cs"/>
          <w:rtl/>
        </w:rPr>
        <w:t>ی</w:t>
      </w:r>
      <w:r w:rsidRPr="0092648A">
        <w:rPr>
          <w:rStyle w:val="Char8"/>
          <w:rFonts w:hint="cs"/>
          <w:rtl/>
        </w:rPr>
        <w:t>د حس</w:t>
      </w:r>
      <w:r w:rsidR="008C7124">
        <w:rPr>
          <w:rStyle w:val="Char8"/>
          <w:rFonts w:hint="cs"/>
          <w:rtl/>
        </w:rPr>
        <w:t>ی</w:t>
      </w:r>
      <w:r w:rsidRPr="0092648A">
        <w:rPr>
          <w:rStyle w:val="Char8"/>
          <w:rFonts w:hint="cs"/>
          <w:rtl/>
        </w:rPr>
        <w:t>ن بن عل</w:t>
      </w:r>
      <w:r w:rsidR="008C7124">
        <w:rPr>
          <w:rStyle w:val="Char8"/>
          <w:rFonts w:hint="cs"/>
          <w:rtl/>
        </w:rPr>
        <w:t>ی</w:t>
      </w:r>
      <w:r w:rsidRPr="0092648A">
        <w:rPr>
          <w:rStyle w:val="Char"/>
          <w:rFonts w:hint="cs"/>
          <w:rtl/>
        </w:rPr>
        <w:t xml:space="preserve"> </w:t>
      </w:r>
      <w:r w:rsidR="00924380" w:rsidRPr="00924380">
        <w:rPr>
          <w:rStyle w:val="Char"/>
          <w:rFonts w:cs="CTraditional Arabic" w:hint="cs"/>
          <w:rtl/>
        </w:rPr>
        <w:t>÷</w:t>
      </w:r>
      <w:r w:rsidRPr="0092648A">
        <w:rPr>
          <w:rStyle w:val="Char"/>
          <w:rFonts w:hint="cs"/>
          <w:rtl/>
        </w:rPr>
        <w:t xml:space="preserve"> [دراسة مختصرة حول الثورة المقدسة للشهيد الخالد الحسين بن علي </w:t>
      </w:r>
      <w:r w:rsidR="00924380" w:rsidRPr="00924380">
        <w:rPr>
          <w:rStyle w:val="Char"/>
          <w:rFonts w:cs="CTraditional Arabic" w:hint="cs"/>
          <w:rtl/>
        </w:rPr>
        <w:t>÷</w:t>
      </w:r>
      <w:r w:rsidRPr="0092648A">
        <w:rPr>
          <w:rStyle w:val="Char"/>
          <w:rFonts w:hint="cs"/>
          <w:rtl/>
        </w:rPr>
        <w:t xml:space="preserve">] (ثلاثة أشخاص من فضلاء الحوزة العلمية في قم هم: محمد حسين الأشعري، حسين الكرمي، والسيد حسن آله طه).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12) </w:t>
      </w:r>
      <w:r w:rsidRPr="0092648A">
        <w:rPr>
          <w:rStyle w:val="Char8"/>
          <w:rFonts w:hint="cs"/>
          <w:rtl/>
        </w:rPr>
        <w:t>راه سوم</w:t>
      </w:r>
      <w:r w:rsidRPr="0092648A">
        <w:rPr>
          <w:rStyle w:val="Char"/>
          <w:rFonts w:hint="cs"/>
          <w:rtl/>
        </w:rPr>
        <w:t xml:space="preserve"> [الطريق الثالث]، الشيخ علي كاظمي (قم، 1391هـ.ش، في 128صفحة).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13) </w:t>
      </w:r>
      <w:r w:rsidRPr="0092648A">
        <w:rPr>
          <w:rStyle w:val="Char8"/>
          <w:rFonts w:hint="cs"/>
          <w:rtl/>
        </w:rPr>
        <w:t>مقصد الحس</w:t>
      </w:r>
      <w:r w:rsidR="008C7124">
        <w:rPr>
          <w:rStyle w:val="Char8"/>
          <w:rFonts w:hint="cs"/>
          <w:rtl/>
        </w:rPr>
        <w:t>ی</w:t>
      </w:r>
      <w:r w:rsidRPr="0092648A">
        <w:rPr>
          <w:rStyle w:val="Char8"/>
          <w:rFonts w:hint="cs"/>
          <w:rtl/>
        </w:rPr>
        <w:t>ن</w:t>
      </w:r>
      <w:r w:rsidRPr="0092648A">
        <w:rPr>
          <w:rStyle w:val="Char"/>
          <w:rFonts w:hint="cs"/>
          <w:rtl/>
        </w:rPr>
        <w:t>، الميرزا أبو الفضل الزاهدي القمي (قم، 1350هـ.ش، 56 صفحة).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14) </w:t>
      </w:r>
      <w:r w:rsidRPr="0092648A">
        <w:rPr>
          <w:rStyle w:val="Char8"/>
          <w:rFonts w:hint="cs"/>
          <w:rtl/>
        </w:rPr>
        <w:t xml:space="preserve">افسانه </w:t>
      </w:r>
      <w:r w:rsidR="008C7124">
        <w:rPr>
          <w:rStyle w:val="Char8"/>
          <w:rFonts w:hint="cs"/>
          <w:rtl/>
        </w:rPr>
        <w:t>ک</w:t>
      </w:r>
      <w:r w:rsidRPr="0092648A">
        <w:rPr>
          <w:rStyle w:val="Char8"/>
          <w:rFonts w:hint="cs"/>
          <w:rtl/>
        </w:rPr>
        <w:t>تاب</w:t>
      </w:r>
      <w:r w:rsidRPr="0092648A">
        <w:rPr>
          <w:rStyle w:val="Char"/>
          <w:rFonts w:hint="cs"/>
          <w:rtl/>
        </w:rPr>
        <w:t xml:space="preserve"> (نقد شهيد جاويد)، عطائي خراساني (جزء من كتاب يقع في 440 صفحة له).</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15) </w:t>
      </w:r>
      <w:r w:rsidRPr="0092648A">
        <w:rPr>
          <w:rStyle w:val="Char8"/>
          <w:rFonts w:hint="cs"/>
          <w:rtl/>
        </w:rPr>
        <w:t>دفاع از حس</w:t>
      </w:r>
      <w:r w:rsidR="008C7124">
        <w:rPr>
          <w:rStyle w:val="Char8"/>
          <w:rFonts w:hint="cs"/>
          <w:rtl/>
        </w:rPr>
        <w:t>ی</w:t>
      </w:r>
      <w:r w:rsidRPr="0092648A">
        <w:rPr>
          <w:rStyle w:val="Char8"/>
          <w:rFonts w:hint="cs"/>
          <w:rtl/>
        </w:rPr>
        <w:t>ن</w:t>
      </w:r>
      <w:r w:rsidRPr="0092648A">
        <w:rPr>
          <w:rStyle w:val="Char"/>
          <w:rFonts w:hint="cs"/>
          <w:rtl/>
        </w:rPr>
        <w:t xml:space="preserve"> [دفاع عن الحسين]، محمد علي الأنصاري (قم، 630 صفحة).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16) </w:t>
      </w:r>
      <w:r w:rsidRPr="0092648A">
        <w:rPr>
          <w:rStyle w:val="Char8"/>
          <w:rFonts w:hint="cs"/>
          <w:rtl/>
        </w:rPr>
        <w:t xml:space="preserve">جواب او از </w:t>
      </w:r>
      <w:r w:rsidR="008C7124">
        <w:rPr>
          <w:rStyle w:val="Char8"/>
          <w:rFonts w:hint="cs"/>
          <w:rtl/>
        </w:rPr>
        <w:t>ک</w:t>
      </w:r>
      <w:r w:rsidRPr="0092648A">
        <w:rPr>
          <w:rStyle w:val="Char8"/>
          <w:rFonts w:hint="cs"/>
          <w:rtl/>
        </w:rPr>
        <w:t>تاب او</w:t>
      </w:r>
      <w:r w:rsidRPr="0092648A">
        <w:rPr>
          <w:rStyle w:val="Char"/>
          <w:rFonts w:hint="cs"/>
          <w:rtl/>
        </w:rPr>
        <w:t xml:space="preserve"> [الردَّ عليه من كتابه]! (عبد الصاحب محمد مهدي مرتضوي اللنكرودي (288 صفحة).</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17) </w:t>
      </w:r>
      <w:r w:rsidR="008C7124">
        <w:rPr>
          <w:rStyle w:val="Char8"/>
          <w:rFonts w:hint="cs"/>
          <w:rtl/>
        </w:rPr>
        <w:t>ک</w:t>
      </w:r>
      <w:r w:rsidRPr="0092648A">
        <w:rPr>
          <w:rStyle w:val="Char8"/>
          <w:rFonts w:hint="cs"/>
          <w:rtl/>
        </w:rPr>
        <w:t>تاب هفت ساله چرا صدا در آورد</w:t>
      </w:r>
      <w:r w:rsidRPr="0092648A">
        <w:rPr>
          <w:rStyle w:val="Char"/>
          <w:rFonts w:hint="cs"/>
          <w:rtl/>
        </w:rPr>
        <w:t xml:space="preserve"> [لماذا أثار الكتاب ذي السبع سنوات ضجَّةً]، الشيخ علي پناه الاشتهاردي (440 صفحة).</w:t>
      </w:r>
    </w:p>
    <w:p w:rsidR="00DA6CFB" w:rsidRPr="0092648A" w:rsidRDefault="00DA6CFB" w:rsidP="0092648A">
      <w:pPr>
        <w:widowControl w:val="0"/>
        <w:spacing w:line="216" w:lineRule="auto"/>
        <w:ind w:firstLine="284"/>
        <w:jc w:val="both"/>
        <w:rPr>
          <w:rStyle w:val="Char"/>
          <w:rtl/>
        </w:rPr>
      </w:pPr>
      <w:r w:rsidRPr="0092648A">
        <w:rPr>
          <w:rStyle w:val="Char8"/>
          <w:rFonts w:hint="cs"/>
          <w:rtl/>
        </w:rPr>
        <w:lastRenderedPageBreak/>
        <w:t>- سالار شه</w:t>
      </w:r>
      <w:r w:rsidR="008C7124">
        <w:rPr>
          <w:rStyle w:val="Char8"/>
          <w:rFonts w:hint="cs"/>
          <w:rtl/>
        </w:rPr>
        <w:t>ی</w:t>
      </w:r>
      <w:r w:rsidRPr="0092648A">
        <w:rPr>
          <w:rStyle w:val="Char8"/>
          <w:rFonts w:hint="cs"/>
          <w:rtl/>
        </w:rPr>
        <w:t>دان حس</w:t>
      </w:r>
      <w:r w:rsidR="008C7124">
        <w:rPr>
          <w:rStyle w:val="Char8"/>
          <w:rFonts w:hint="cs"/>
          <w:rtl/>
        </w:rPr>
        <w:t>ی</w:t>
      </w:r>
      <w:r w:rsidRPr="0092648A">
        <w:rPr>
          <w:rStyle w:val="Char8"/>
          <w:rFonts w:hint="cs"/>
          <w:rtl/>
        </w:rPr>
        <w:t>ن بن عل</w:t>
      </w:r>
      <w:r w:rsidR="008C7124">
        <w:rPr>
          <w:rStyle w:val="Char8"/>
          <w:rFonts w:hint="cs"/>
          <w:rtl/>
        </w:rPr>
        <w:t>ی</w:t>
      </w:r>
      <w:r w:rsidRPr="0092648A">
        <w:rPr>
          <w:rStyle w:val="Char"/>
          <w:rFonts w:hint="cs"/>
          <w:rtl/>
        </w:rPr>
        <w:t xml:space="preserve"> [سيد الشهداء الحسين بن علي]، السيد أحمد الفهري، (402 صفحة). </w:t>
      </w:r>
    </w:p>
    <w:p w:rsidR="00DA6CFB" w:rsidRPr="0092648A" w:rsidRDefault="00DA6CFB" w:rsidP="0092648A">
      <w:pPr>
        <w:widowControl w:val="0"/>
        <w:spacing w:line="216" w:lineRule="auto"/>
        <w:ind w:firstLine="284"/>
        <w:jc w:val="both"/>
        <w:rPr>
          <w:rStyle w:val="Char"/>
          <w:rtl/>
        </w:rPr>
      </w:pPr>
      <w:r w:rsidRPr="0092648A">
        <w:rPr>
          <w:rStyle w:val="Char8"/>
          <w:rFonts w:hint="cs"/>
          <w:rtl/>
        </w:rPr>
        <w:t>-</w:t>
      </w:r>
      <w:r w:rsidRPr="0092648A">
        <w:rPr>
          <w:rStyle w:val="Char"/>
          <w:rFonts w:hint="cs"/>
          <w:rtl/>
        </w:rPr>
        <w:t xml:space="preserve"> </w:t>
      </w:r>
      <w:r w:rsidRPr="0092648A">
        <w:rPr>
          <w:rStyle w:val="Char8"/>
          <w:rFonts w:hint="cs"/>
          <w:rtl/>
        </w:rPr>
        <w:t>پاسداران وح</w:t>
      </w:r>
      <w:r w:rsidR="008C7124">
        <w:rPr>
          <w:rStyle w:val="Char8"/>
          <w:rFonts w:hint="cs"/>
          <w:rtl/>
        </w:rPr>
        <w:t>ی</w:t>
      </w:r>
      <w:r w:rsidRPr="0092648A">
        <w:rPr>
          <w:rStyle w:val="Char"/>
          <w:rFonts w:hint="cs"/>
          <w:rtl/>
        </w:rPr>
        <w:t xml:space="preserve"> [حُرَّاس الوحي]، شهاب الدين الإشراقي، ومحمد فاضل للنكراني (456 صفحة).</w:t>
      </w:r>
    </w:p>
    <w:p w:rsidR="00DA6CFB" w:rsidRPr="0092648A" w:rsidRDefault="00DA6CFB" w:rsidP="0092648A">
      <w:pPr>
        <w:widowControl w:val="0"/>
        <w:spacing w:line="216" w:lineRule="auto"/>
        <w:ind w:firstLine="284"/>
        <w:jc w:val="both"/>
        <w:rPr>
          <w:rStyle w:val="Char"/>
          <w:rtl/>
        </w:rPr>
      </w:pPr>
      <w:r w:rsidRPr="0092648A">
        <w:rPr>
          <w:rStyle w:val="Char8"/>
          <w:rFonts w:hint="cs"/>
          <w:rtl/>
        </w:rPr>
        <w:t>- شه</w:t>
      </w:r>
      <w:r w:rsidR="008C7124">
        <w:rPr>
          <w:rStyle w:val="Char8"/>
          <w:rFonts w:hint="cs"/>
          <w:rtl/>
        </w:rPr>
        <w:t>ی</w:t>
      </w:r>
      <w:r w:rsidRPr="0092648A">
        <w:rPr>
          <w:rStyle w:val="Char8"/>
          <w:rFonts w:hint="cs"/>
          <w:rtl/>
        </w:rPr>
        <w:t>د آگاه</w:t>
      </w:r>
      <w:r w:rsidRPr="0092648A">
        <w:rPr>
          <w:rStyle w:val="Char"/>
          <w:rFonts w:hint="cs"/>
          <w:rtl/>
        </w:rPr>
        <w:t xml:space="preserve"> [الشهيد العالم]، صافي كلبايكاني (قم، 1393هـ.ق).</w:t>
      </w:r>
      <w:r w:rsidRPr="006E28E9">
        <w:rPr>
          <w:rStyle w:val="Char"/>
          <w:rFonts w:ascii="Arabic11 BT" w:hAnsi="Arabic11 BT" w:cs="Arabic11 BT"/>
          <w:vertAlign w:val="superscript"/>
          <w:rtl/>
        </w:rPr>
        <w:footnoteReference w:id="415"/>
      </w:r>
    </w:p>
    <w:p w:rsidR="00DA6CFB" w:rsidRPr="0092648A" w:rsidRDefault="00DA6CFB" w:rsidP="0092648A">
      <w:pPr>
        <w:widowControl w:val="0"/>
        <w:spacing w:line="216" w:lineRule="auto"/>
        <w:ind w:firstLine="284"/>
        <w:jc w:val="both"/>
        <w:rPr>
          <w:rStyle w:val="Char"/>
          <w:rtl/>
        </w:rPr>
      </w:pPr>
      <w:r w:rsidRPr="0092648A">
        <w:rPr>
          <w:rStyle w:val="Char"/>
          <w:rFonts w:hint="cs"/>
          <w:rtl/>
        </w:rPr>
        <w:t>وقد قدَّم [آية الله] رضا استادي توضيحات حول كل كتاب من الكتب المذكورة أعلاه أو نَقَلَ فقرات مما ورد فيها</w:t>
      </w:r>
      <w:r w:rsidRPr="006E28E9">
        <w:rPr>
          <w:rStyle w:val="Char"/>
          <w:rFonts w:ascii="Arabic11 BT" w:hAnsi="Arabic11 BT" w:cs="Arabic11 BT"/>
          <w:vertAlign w:val="superscript"/>
          <w:rtl/>
        </w:rPr>
        <w:footnoteReference w:id="416"/>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وينبغي أن نضيف إلى تلك الكتب كُتَيِّبًا صغيرًا أيضًا عنوانه </w:t>
      </w:r>
      <w:r w:rsidRPr="0092648A">
        <w:rPr>
          <w:rStyle w:val="Char"/>
          <w:rFonts w:hint="eastAsia"/>
          <w:rtl/>
        </w:rPr>
        <w:t>«</w:t>
      </w:r>
      <w:r w:rsidRPr="0092648A">
        <w:rPr>
          <w:rStyle w:val="Char8"/>
          <w:rFonts w:hint="eastAsia"/>
          <w:rtl/>
        </w:rPr>
        <w:t>ع</w:t>
      </w:r>
      <w:r w:rsidRPr="0092648A">
        <w:rPr>
          <w:rStyle w:val="Char8"/>
          <w:rFonts w:hint="cs"/>
          <w:rtl/>
        </w:rPr>
        <w:t>قده گشوده</w:t>
      </w:r>
      <w:r w:rsidRPr="0092648A">
        <w:rPr>
          <w:rStyle w:val="Char"/>
          <w:rFonts w:hint="eastAsia"/>
          <w:rtl/>
        </w:rPr>
        <w:t xml:space="preserve">» </w:t>
      </w:r>
      <w:r w:rsidRPr="0092648A">
        <w:rPr>
          <w:rStyle w:val="Char"/>
          <w:rFonts w:hint="cs"/>
          <w:rtl/>
        </w:rPr>
        <w:t>[عقدة محلولة]، (حول كتاب الشهيد الخالد) ألفه وطبعه الحاج الشيخ جعفر صبوري القمي (المقيم في كاشان).</w:t>
      </w:r>
    </w:p>
    <w:p w:rsidR="00DA6CFB" w:rsidRPr="0092648A" w:rsidRDefault="00DA6CFB" w:rsidP="0092648A">
      <w:pPr>
        <w:widowControl w:val="0"/>
        <w:spacing w:line="216" w:lineRule="auto"/>
        <w:ind w:firstLine="284"/>
        <w:jc w:val="both"/>
        <w:rPr>
          <w:rStyle w:val="Char"/>
          <w:rtl/>
        </w:rPr>
      </w:pPr>
      <w:r w:rsidRPr="0092648A">
        <w:rPr>
          <w:rStyle w:val="Char"/>
          <w:rFonts w:hint="cs"/>
          <w:rtl/>
        </w:rPr>
        <w:t>مع بلوغ الاعتراضات على كتاب الشهيد الخالد ذروتها قام صالحي نجف آبادي بأعمال مختلفة للدفاع عن كتابه، منها نشره لبيان بين فيه أن السيد مطهري كان قد أعلن موافقته على نشر الكتاب، وذكر في البيان أن السيد مطهري قرأ الكتاب قبل طباعته، وقال إنه يتضمن أبحاثًا جيدةً، ولكن بعد انتشار هذا البيان أعلن السيد مطهري أنه وافق على الكتاب لأنه أخضع موضوع عاشوراء إلى البحث العلمي ولكنه لم يوافق على الاستنتاجات التي توصَّل إليها.</w:t>
      </w:r>
      <w:r w:rsidRPr="006E28E9">
        <w:rPr>
          <w:rStyle w:val="Char"/>
          <w:rFonts w:ascii="Arabic11 BT" w:hAnsi="Arabic11 BT" w:cs="Arabic11 BT"/>
          <w:vertAlign w:val="superscript"/>
          <w:rtl/>
        </w:rPr>
        <w:footnoteReference w:id="417"/>
      </w:r>
    </w:p>
    <w:p w:rsidR="00DA6CFB" w:rsidRPr="0092648A" w:rsidRDefault="00DA6CFB" w:rsidP="0092648A">
      <w:pPr>
        <w:widowControl w:val="0"/>
        <w:spacing w:line="216" w:lineRule="auto"/>
        <w:ind w:firstLine="284"/>
        <w:jc w:val="both"/>
        <w:rPr>
          <w:rStyle w:val="Char"/>
          <w:rtl/>
        </w:rPr>
      </w:pPr>
      <w:r w:rsidRPr="008C7124">
        <w:rPr>
          <w:rStyle w:val="Char"/>
          <w:rFonts w:hint="cs"/>
          <w:spacing w:val="-4"/>
          <w:rtl/>
        </w:rPr>
        <w:t xml:space="preserve">كتب مؤلف الشهيد الخالد كتابًا في نقد الانتقادات التي وُجهت إلى كتابه وسماه: </w:t>
      </w:r>
      <w:r w:rsidRPr="008C7124">
        <w:rPr>
          <w:rStyle w:val="Char"/>
          <w:rFonts w:hint="eastAsia"/>
          <w:spacing w:val="-4"/>
          <w:rtl/>
        </w:rPr>
        <w:t>«</w:t>
      </w:r>
      <w:r w:rsidRPr="008C7124">
        <w:rPr>
          <w:rStyle w:val="Char8"/>
          <w:rFonts w:hint="eastAsia"/>
          <w:spacing w:val="-4"/>
          <w:rtl/>
        </w:rPr>
        <w:t>ع</w:t>
      </w:r>
      <w:r w:rsidRPr="008C7124">
        <w:rPr>
          <w:rStyle w:val="Char8"/>
          <w:rFonts w:hint="cs"/>
          <w:spacing w:val="-4"/>
          <w:rtl/>
        </w:rPr>
        <w:t>صا</w:t>
      </w:r>
      <w:r w:rsidR="008C7124">
        <w:rPr>
          <w:rStyle w:val="Char8"/>
          <w:rFonts w:hint="cs"/>
          <w:spacing w:val="-4"/>
          <w:rtl/>
        </w:rPr>
        <w:t>ی</w:t>
      </w:r>
      <w:r w:rsidRPr="008C7124">
        <w:rPr>
          <w:rStyle w:val="Char8"/>
          <w:rFonts w:hint="cs"/>
          <w:spacing w:val="-4"/>
          <w:rtl/>
        </w:rPr>
        <w:t xml:space="preserve"> موسى </w:t>
      </w:r>
      <w:r w:rsidR="00924380" w:rsidRPr="008C7124">
        <w:rPr>
          <w:rStyle w:val="Char8"/>
          <w:rFonts w:cs="CTraditional Arabic" w:hint="cs"/>
          <w:b w:val="0"/>
          <w:bCs w:val="0"/>
          <w:spacing w:val="-4"/>
          <w:rtl/>
        </w:rPr>
        <w:t>÷</w:t>
      </w:r>
      <w:r w:rsidRPr="008C7124">
        <w:rPr>
          <w:rStyle w:val="Char8"/>
          <w:rFonts w:hint="cs"/>
          <w:spacing w:val="-4"/>
          <w:rtl/>
        </w:rPr>
        <w:t>،</w:t>
      </w:r>
      <w:r w:rsidRPr="0092648A">
        <w:rPr>
          <w:rStyle w:val="Char8"/>
          <w:rFonts w:hint="cs"/>
          <w:rtl/>
        </w:rPr>
        <w:t xml:space="preserve"> </w:t>
      </w:r>
      <w:r w:rsidR="008C7124">
        <w:rPr>
          <w:rStyle w:val="Char8"/>
          <w:rFonts w:hint="cs"/>
          <w:rtl/>
        </w:rPr>
        <w:lastRenderedPageBreak/>
        <w:t>ی</w:t>
      </w:r>
      <w:r w:rsidRPr="0092648A">
        <w:rPr>
          <w:rStyle w:val="Char8"/>
          <w:rFonts w:hint="cs"/>
          <w:rtl/>
        </w:rPr>
        <w:t>ا درمان ب</w:t>
      </w:r>
      <w:r w:rsidR="008C7124">
        <w:rPr>
          <w:rStyle w:val="Char8"/>
          <w:rFonts w:hint="cs"/>
          <w:rtl/>
        </w:rPr>
        <w:t>ی</w:t>
      </w:r>
      <w:r w:rsidRPr="0092648A">
        <w:rPr>
          <w:rStyle w:val="Char8"/>
          <w:rFonts w:hint="cs"/>
          <w:rtl/>
        </w:rPr>
        <w:t>مار</w:t>
      </w:r>
      <w:r w:rsidR="008C7124">
        <w:rPr>
          <w:rStyle w:val="Char8"/>
          <w:rFonts w:hint="cs"/>
          <w:rtl/>
        </w:rPr>
        <w:t>ی</w:t>
      </w:r>
      <w:r w:rsidRPr="0092648A">
        <w:rPr>
          <w:rStyle w:val="Char8"/>
          <w:rFonts w:hint="cs"/>
          <w:rtl/>
        </w:rPr>
        <w:t xml:space="preserve"> غلو</w:t>
      </w:r>
      <w:r w:rsidRPr="0092648A">
        <w:rPr>
          <w:rStyle w:val="Char"/>
          <w:rFonts w:hint="eastAsia"/>
          <w:rtl/>
        </w:rPr>
        <w:t xml:space="preserve">» </w:t>
      </w:r>
      <w:r w:rsidRPr="0092648A">
        <w:rPr>
          <w:rStyle w:val="Char"/>
          <w:rFonts w:hint="cs"/>
          <w:rtl/>
        </w:rPr>
        <w:t xml:space="preserve">[عصا موسى أو علاج مرض الغلو] ونشره سنة 1355هـ.ش [1976م]، عن طريق دار نشر </w:t>
      </w:r>
      <w:r w:rsidRPr="0092648A">
        <w:rPr>
          <w:rStyle w:val="Char"/>
          <w:rFonts w:hint="eastAsia"/>
          <w:rtl/>
        </w:rPr>
        <w:t>«ك</w:t>
      </w:r>
      <w:r w:rsidRPr="0092648A">
        <w:rPr>
          <w:rStyle w:val="Char"/>
          <w:rFonts w:hint="cs"/>
          <w:rtl/>
        </w:rPr>
        <w:t>انون انتشار</w:t>
      </w:r>
      <w:r w:rsidRPr="0092648A">
        <w:rPr>
          <w:rStyle w:val="Char"/>
          <w:rFonts w:hint="eastAsia"/>
          <w:rtl/>
        </w:rPr>
        <w:t>»</w:t>
      </w:r>
      <w:r w:rsidRPr="0092648A">
        <w:rPr>
          <w:rStyle w:val="Char"/>
          <w:rFonts w:hint="cs"/>
          <w:rtl/>
        </w:rPr>
        <w:t xml:space="preserve">، وقد تضمن الكتاب موضوعات 132 شريطًا من دروسه، قام خلالها بدراسة وتمحيص روايات كتاب الحجة في كتاب </w:t>
      </w:r>
      <w:r w:rsidRPr="0092648A">
        <w:rPr>
          <w:rStyle w:val="Char8"/>
          <w:rFonts w:hint="cs"/>
          <w:rtl/>
        </w:rPr>
        <w:t>ال</w:t>
      </w:r>
      <w:r w:rsidR="008C7124">
        <w:rPr>
          <w:rStyle w:val="Char8"/>
          <w:rFonts w:hint="cs"/>
          <w:rtl/>
        </w:rPr>
        <w:t>ک</w:t>
      </w:r>
      <w:r w:rsidRPr="0092648A">
        <w:rPr>
          <w:rStyle w:val="Char8"/>
          <w:rFonts w:hint="cs"/>
          <w:rtl/>
        </w:rPr>
        <w:t>اف</w:t>
      </w:r>
      <w:r w:rsidR="008C7124">
        <w:rPr>
          <w:rStyle w:val="Char8"/>
          <w:rFonts w:hint="cs"/>
          <w:rtl/>
        </w:rPr>
        <w:t>ی</w:t>
      </w:r>
      <w:r w:rsidRPr="0092648A">
        <w:rPr>
          <w:rStyle w:val="Char"/>
          <w:rFonts w:hint="cs"/>
          <w:rtl/>
        </w:rPr>
        <w:t>، وبعد نشر الكتاب اضطر، تحت ضغط نظام البلهوي، إلى تغيير بعض الصفحات فيه باسم طريق الاعتدال وطبعه باسمٍ مستعار هو عبد الله مظلوم، ولكن هذه النسخة المعدلة الجديدة أيضًا لم يُسمح له بتوزيعها.</w:t>
      </w:r>
      <w:r w:rsidRPr="006E28E9">
        <w:rPr>
          <w:rStyle w:val="Char"/>
          <w:rFonts w:ascii="Arabic11 BT" w:hAnsi="Arabic11 BT" w:cs="Arabic11 BT"/>
          <w:vertAlign w:val="superscript"/>
          <w:rtl/>
        </w:rPr>
        <w:footnoteReference w:id="418"/>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كتب الأستاذ مطهري انتقادات قصيرة في حاشية نسخةٍ من كتاب الشهيد الخالد وطبعت هذه الانتقادات مع الكتاب، فكتب الشيخ صالحي نجف آبادي ردًّا على هذه الانتقادات. </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وخصَّص السيد يزدي جزءًا من كتابه </w:t>
      </w:r>
      <w:r w:rsidRPr="0092648A">
        <w:rPr>
          <w:rStyle w:val="Char"/>
          <w:rFonts w:hint="eastAsia"/>
          <w:rtl/>
        </w:rPr>
        <w:t>«</w:t>
      </w:r>
      <w:r w:rsidRPr="0092648A">
        <w:rPr>
          <w:rStyle w:val="Char8"/>
          <w:rFonts w:hint="eastAsia"/>
          <w:rtl/>
        </w:rPr>
        <w:t>ح</w:t>
      </w:r>
      <w:r w:rsidRPr="0092648A">
        <w:rPr>
          <w:rStyle w:val="Char8"/>
          <w:rFonts w:hint="cs"/>
          <w:rtl/>
        </w:rPr>
        <w:t>س</w:t>
      </w:r>
      <w:r w:rsidR="008C7124">
        <w:rPr>
          <w:rStyle w:val="Char8"/>
          <w:rFonts w:hint="cs"/>
          <w:rtl/>
        </w:rPr>
        <w:t>ی</w:t>
      </w:r>
      <w:r w:rsidRPr="0092648A">
        <w:rPr>
          <w:rStyle w:val="Char8"/>
          <w:rFonts w:hint="cs"/>
          <w:rtl/>
        </w:rPr>
        <w:t>ن بن عل</w:t>
      </w:r>
      <w:r w:rsidR="008C7124">
        <w:rPr>
          <w:rStyle w:val="Char8"/>
          <w:rFonts w:hint="cs"/>
          <w:rtl/>
        </w:rPr>
        <w:t>ی</w:t>
      </w:r>
      <w:r w:rsidRPr="0092648A">
        <w:rPr>
          <w:rStyle w:val="Char8"/>
          <w:rFonts w:hint="cs"/>
          <w:rtl/>
        </w:rPr>
        <w:t xml:space="preserve"> بهتر بشناس</w:t>
      </w:r>
      <w:r w:rsidR="008C7124">
        <w:rPr>
          <w:rStyle w:val="Char8"/>
          <w:rFonts w:hint="cs"/>
          <w:rtl/>
        </w:rPr>
        <w:t>ی</w:t>
      </w:r>
      <w:r w:rsidRPr="0092648A">
        <w:rPr>
          <w:rStyle w:val="Char8"/>
          <w:rFonts w:hint="cs"/>
          <w:rtl/>
        </w:rPr>
        <w:t>م</w:t>
      </w:r>
      <w:r w:rsidRPr="0092648A">
        <w:rPr>
          <w:rStyle w:val="Char"/>
          <w:rFonts w:hint="eastAsia"/>
          <w:rtl/>
        </w:rPr>
        <w:t xml:space="preserve">» </w:t>
      </w:r>
      <w:r w:rsidRPr="0092648A">
        <w:rPr>
          <w:rStyle w:val="Char"/>
          <w:rFonts w:hint="cs"/>
          <w:rtl/>
        </w:rPr>
        <w:t>[لنتعرف بشكل أفضل على الحسين بن علي] للردّ على كتاب الشهيد الخالد.</w:t>
      </w:r>
      <w:r w:rsidRPr="006E28E9">
        <w:rPr>
          <w:rStyle w:val="Char"/>
          <w:rFonts w:ascii="Arabic11 BT" w:hAnsi="Arabic11 BT" w:cs="Arabic11 BT"/>
          <w:vertAlign w:val="superscript"/>
          <w:rtl/>
        </w:rPr>
        <w:footnoteReference w:id="419"/>
      </w:r>
      <w:r w:rsidRPr="0092648A">
        <w:rPr>
          <w:rStyle w:val="Char"/>
          <w:rFonts w:hint="cs"/>
          <w:rtl/>
        </w:rPr>
        <w:t xml:space="preserve"> وقد بين في هذا الكتاب بعض أصداء قضية كتاب </w:t>
      </w:r>
      <w:r w:rsidRPr="0092648A">
        <w:rPr>
          <w:rStyle w:val="Char"/>
          <w:rFonts w:hint="eastAsia"/>
          <w:rtl/>
        </w:rPr>
        <w:t>ا</w:t>
      </w:r>
      <w:r w:rsidRPr="0092648A">
        <w:rPr>
          <w:rStyle w:val="Char"/>
          <w:rFonts w:hint="cs"/>
          <w:rtl/>
        </w:rPr>
        <w:t>لشهيد الخالد</w:t>
      </w:r>
      <w:r w:rsidRPr="0092648A">
        <w:rPr>
          <w:rStyle w:val="Char"/>
          <w:rFonts w:hint="eastAsia"/>
          <w:rtl/>
        </w:rPr>
        <w:t xml:space="preserve"> </w:t>
      </w:r>
      <w:r w:rsidRPr="0092648A">
        <w:rPr>
          <w:rStyle w:val="Char"/>
          <w:rFonts w:hint="cs"/>
          <w:rtl/>
        </w:rPr>
        <w:t>في الحوزة العلمية، ومنها خطبة السيد آله طه التي قال فيها: ينبغي أن نلبس الأكفان وننطلق في الطرقات للاعتراض على هذا الكتاب وإبراز مخالفتنا الشديدة له.</w:t>
      </w:r>
      <w:r w:rsidRPr="006E28E9">
        <w:rPr>
          <w:rStyle w:val="Char"/>
          <w:rFonts w:ascii="Arabic11 BT" w:hAnsi="Arabic11 BT" w:cs="Arabic11 BT"/>
          <w:vertAlign w:val="superscript"/>
          <w:rtl/>
        </w:rPr>
        <w:footnoteReference w:id="420"/>
      </w:r>
      <w:r w:rsidRPr="0092648A">
        <w:rPr>
          <w:rStyle w:val="Char"/>
          <w:rFonts w:hint="cs"/>
          <w:rtl/>
        </w:rPr>
        <w:t xml:space="preserve"> لقد أخذ السيد يزدي نصًّا مكتوبًا من السيد صالحي نجف آبادي كان يتضمن نوعًا من التصحيح وبعض التعديلات وإعادة النظر في نظرياته وأفكاره وطرحها في أحد اجتماعاته في قم مع آية الله كلبايكاني، فكان ذلك مؤثراً في تخفيف التوتر، وإقناع بعض الوعاظ.</w:t>
      </w:r>
      <w:r w:rsidRPr="006E28E9">
        <w:rPr>
          <w:rStyle w:val="Char"/>
          <w:rFonts w:ascii="Arabic11 BT" w:hAnsi="Arabic11 BT" w:cs="Arabic11 BT"/>
          <w:vertAlign w:val="superscript"/>
          <w:rtl/>
        </w:rPr>
        <w:footnoteReference w:id="421"/>
      </w:r>
    </w:p>
    <w:p w:rsidR="00DA6CFB" w:rsidRPr="0092648A" w:rsidRDefault="00DA6CFB" w:rsidP="0092648A">
      <w:pPr>
        <w:widowControl w:val="0"/>
        <w:spacing w:line="216" w:lineRule="auto"/>
        <w:ind w:firstLine="284"/>
        <w:jc w:val="both"/>
        <w:rPr>
          <w:rStyle w:val="Char"/>
          <w:rtl/>
        </w:rPr>
      </w:pPr>
      <w:r w:rsidRPr="0092648A">
        <w:rPr>
          <w:rStyle w:val="Char"/>
          <w:rFonts w:hint="cs"/>
          <w:rtl/>
        </w:rPr>
        <w:lastRenderedPageBreak/>
        <w:t>أشار حميد عنايت</w:t>
      </w:r>
      <w:r w:rsidRPr="006E28E9">
        <w:rPr>
          <w:rStyle w:val="Char"/>
          <w:rFonts w:ascii="Arabic11 BT" w:hAnsi="Arabic11 BT" w:cs="Arabic11 BT"/>
          <w:vertAlign w:val="superscript"/>
          <w:rtl/>
        </w:rPr>
        <w:footnoteReference w:id="422"/>
      </w:r>
      <w:r w:rsidRPr="0092648A">
        <w:rPr>
          <w:rStyle w:val="Char"/>
          <w:rFonts w:hint="cs"/>
          <w:rtl/>
        </w:rPr>
        <w:t xml:space="preserve"> في المرحلة الأخيرة من التحليل الذي كتبه حول المؤلفات التي كُتِبت عن الإمام الحسين </w:t>
      </w:r>
      <w:r w:rsidR="00924380" w:rsidRPr="00924380">
        <w:rPr>
          <w:rStyle w:val="Char"/>
          <w:rFonts w:cs="CTraditional Arabic" w:hint="cs"/>
          <w:rtl/>
        </w:rPr>
        <w:t>÷</w:t>
      </w:r>
      <w:r w:rsidRPr="0092648A">
        <w:rPr>
          <w:rStyle w:val="Char"/>
          <w:rFonts w:hint="cs"/>
          <w:rtl/>
        </w:rPr>
        <w:t xml:space="preserve"> في السنوات العشر التي سبقت الثورة الإسلامية، إلى كتاب الشهيد الخالد وذكر سعي مؤلفه إلى تصوير واقعة كربلاء بصورة طبيعية وتجنّبه للتوصيفات فوق الطبيعية والعاطفية الرومانسية المشوبة بالإغراق والمبالغات لحادثة كربلاء، كما أشار إلى مخالفة رأي مؤلف الكتاب حول علم الإمام المعصوم لما كان سائداً في مجتمع الشيعة باسم الحديث والعقيدة وكتب قائلاً: </w:t>
      </w:r>
      <w:r w:rsidRPr="0092648A">
        <w:rPr>
          <w:rStyle w:val="Char"/>
          <w:rFonts w:hint="eastAsia"/>
          <w:rtl/>
        </w:rPr>
        <w:t>«ل</w:t>
      </w:r>
      <w:r w:rsidRPr="0092648A">
        <w:rPr>
          <w:rStyle w:val="Char"/>
          <w:rFonts w:hint="cs"/>
          <w:rtl/>
        </w:rPr>
        <w:t>قد كان موقف نجف آبادي هذا في نهاية الأمر عُرضة للضرر والخسران، لأن رده وإنكاره لتلك العقيدة الرائجة حول علم الإمام، وربما عن علمٍ وعمدٍ، أمرٌ يتعارض مع ما تذكره المصادر الشيعية الأولى في هذا المجال، أي مجاميع الأحاديث الموثوقة والمفصلة التي ألفها كل من الكليني والطوسي والشيخ الصدوق».</w:t>
      </w:r>
      <w:r w:rsidRPr="006E28E9">
        <w:rPr>
          <w:rStyle w:val="Char"/>
          <w:rFonts w:ascii="Arabic11 BT" w:hAnsi="Arabic11 BT" w:cs="Arabic11 BT"/>
          <w:vertAlign w:val="superscript"/>
          <w:rtl/>
        </w:rPr>
        <w:footnoteReference w:id="423"/>
      </w:r>
    </w:p>
    <w:p w:rsidR="00DA6CFB" w:rsidRPr="008C7124" w:rsidRDefault="00DA6CFB" w:rsidP="0092648A">
      <w:pPr>
        <w:widowControl w:val="0"/>
        <w:spacing w:line="216" w:lineRule="auto"/>
        <w:ind w:firstLine="284"/>
        <w:jc w:val="both"/>
        <w:rPr>
          <w:rStyle w:val="Char"/>
          <w:spacing w:val="-2"/>
          <w:rtl/>
        </w:rPr>
      </w:pPr>
      <w:r w:rsidRPr="008C7124">
        <w:rPr>
          <w:rStyle w:val="Char"/>
          <w:rFonts w:hint="cs"/>
          <w:spacing w:val="-2"/>
          <w:rtl/>
        </w:rPr>
        <w:t xml:space="preserve">لقد ارتبطت قضية كتاب الشهيد الخالد بالحوادث التي جرت في قهدريجان، ارتباطًا خاصًّا، واتّسع هذا الأمر وامتدّ ليصل إلى تشكيل تيار تحت عنوان </w:t>
      </w:r>
      <w:r w:rsidRPr="008C7124">
        <w:rPr>
          <w:rStyle w:val="Char"/>
          <w:rFonts w:hint="eastAsia"/>
          <w:spacing w:val="-2"/>
          <w:rtl/>
        </w:rPr>
        <w:t>«ر</w:t>
      </w:r>
      <w:r w:rsidRPr="008C7124">
        <w:rPr>
          <w:rStyle w:val="Char"/>
          <w:rFonts w:hint="cs"/>
          <w:spacing w:val="-2"/>
          <w:rtl/>
        </w:rPr>
        <w:t>وحانيون مبارز</w:t>
      </w:r>
      <w:r w:rsidRPr="008C7124">
        <w:rPr>
          <w:rStyle w:val="Char"/>
          <w:rFonts w:hint="eastAsia"/>
          <w:spacing w:val="-2"/>
          <w:rtl/>
        </w:rPr>
        <w:t xml:space="preserve">» </w:t>
      </w:r>
      <w:r w:rsidRPr="008C7124">
        <w:rPr>
          <w:rStyle w:val="Char"/>
          <w:rFonts w:hint="cs"/>
          <w:spacing w:val="-2"/>
          <w:rtl/>
        </w:rPr>
        <w:t xml:space="preserve">أي علماء الدين المناضلين، وهو تيار أدى برفقه ما يأتي، إلى خلق مسائل حساسة: كتب صالحي نجف آبادي كتاب الشهيد الخالد - دافع آية الله المنتظري عن الكتاب - كان أخو السيد مهدي هاشمي صهر السيد منتظري - أنشأ السيد مهدي هاشمي نجاد مجموعة </w:t>
      </w:r>
      <w:r w:rsidRPr="008C7124">
        <w:rPr>
          <w:rStyle w:val="Char"/>
          <w:rFonts w:hint="eastAsia"/>
          <w:spacing w:val="-2"/>
          <w:rtl/>
        </w:rPr>
        <w:t>«ا</w:t>
      </w:r>
      <w:r w:rsidRPr="008C7124">
        <w:rPr>
          <w:rStyle w:val="Char"/>
          <w:rFonts w:hint="cs"/>
          <w:spacing w:val="-2"/>
          <w:rtl/>
        </w:rPr>
        <w:t>لهدفيين</w:t>
      </w:r>
      <w:r w:rsidRPr="008C7124">
        <w:rPr>
          <w:rStyle w:val="Char"/>
          <w:rFonts w:hint="eastAsia"/>
          <w:spacing w:val="-2"/>
          <w:rtl/>
        </w:rPr>
        <w:t>»</w:t>
      </w:r>
      <w:r w:rsidRPr="008C7124">
        <w:rPr>
          <w:rStyle w:val="Char"/>
          <w:rFonts w:hint="cs"/>
          <w:spacing w:val="-2"/>
          <w:rtl/>
        </w:rPr>
        <w:t xml:space="preserve"> - عارض آية الله شمس آبادي كتاب </w:t>
      </w:r>
      <w:r w:rsidRPr="008C7124">
        <w:rPr>
          <w:rStyle w:val="Char"/>
          <w:rFonts w:hint="eastAsia"/>
          <w:spacing w:val="-2"/>
          <w:rtl/>
        </w:rPr>
        <w:t>ا</w:t>
      </w:r>
      <w:r w:rsidRPr="008C7124">
        <w:rPr>
          <w:rStyle w:val="Char"/>
          <w:rFonts w:hint="cs"/>
          <w:spacing w:val="-2"/>
          <w:rtl/>
        </w:rPr>
        <w:t>لشهيد الخالد - قامت مجموعة الهدفيين باغتيال شمس آبادي وأردته قتيلًا. عندما نجمع هذه القضايا بعضها إلى بعض، تتكون لدينا الأرضية التي شاهدنا آثارها بعد الثورة. في التحليلات التي كانت تقوم بها المجموعات المختلفة في ذلك الزمن والتي كان أغلبها معارضًا لكتاب الشهيد الخالد، تَمَّ الربط بين القضايا الأربع الآتية: كتاب الشهيد الخالد، شمس آبادي، شريعتي، وغروي الأصفهاني،</w:t>
      </w:r>
      <w:r w:rsidRPr="008C7124">
        <w:rPr>
          <w:rStyle w:val="Char"/>
          <w:rFonts w:ascii="Arabic11 BT" w:hAnsi="Arabic11 BT" w:cs="Arabic11 BT"/>
          <w:spacing w:val="-2"/>
          <w:vertAlign w:val="superscript"/>
          <w:rtl/>
        </w:rPr>
        <w:footnoteReference w:id="424"/>
      </w:r>
      <w:r w:rsidRPr="008C7124">
        <w:rPr>
          <w:rStyle w:val="Char"/>
          <w:rFonts w:hint="cs"/>
          <w:spacing w:val="-2"/>
          <w:rtl/>
        </w:rPr>
        <w:t xml:space="preserve"> كان بعض الأشخاص، بالطبع، في لب هذه الحوادث وبعضهم في حواشيها. بعد انتصار الثورة اتخذت القضية أبعادًا جديدةً </w:t>
      </w:r>
      <w:r w:rsidRPr="008C7124">
        <w:rPr>
          <w:rStyle w:val="Char"/>
          <w:rFonts w:hint="cs"/>
          <w:spacing w:val="-2"/>
          <w:rtl/>
        </w:rPr>
        <w:lastRenderedPageBreak/>
        <w:t xml:space="preserve">واشتهرت بعد حوالي عشر سنوات باسم قضية السيد مهدي هاشمي (ولد سنة 1323هـ.ش/ 1944م)، اشتملت هذه الحادثة على طيفٍ فكري </w:t>
      </w:r>
      <w:r w:rsidRPr="008C7124">
        <w:rPr>
          <w:rFonts w:cs="Times New Roman" w:hint="cs"/>
          <w:spacing w:val="-2"/>
          <w:rtl/>
        </w:rPr>
        <w:t>–</w:t>
      </w:r>
      <w:r w:rsidRPr="008C7124">
        <w:rPr>
          <w:rStyle w:val="Char"/>
          <w:rFonts w:hint="cs"/>
          <w:spacing w:val="-2"/>
          <w:rtl/>
        </w:rPr>
        <w:t xml:space="preserve"> وهو التعبير الذي كان يستخدمه مهدي هاشمي نفسه- أكثر من كونها مجرد تشكيل لمجموعة سياسية ما.</w:t>
      </w:r>
      <w:r w:rsidRPr="008C7124">
        <w:rPr>
          <w:rStyle w:val="Char"/>
          <w:rFonts w:ascii="Arabic11 BT" w:hAnsi="Arabic11 BT" w:cs="Arabic11 BT"/>
          <w:spacing w:val="-2"/>
          <w:vertAlign w:val="superscript"/>
          <w:rtl/>
        </w:rPr>
        <w:footnoteReference w:id="425"/>
      </w:r>
      <w:r w:rsidRPr="008C7124">
        <w:rPr>
          <w:rStyle w:val="Char"/>
          <w:rFonts w:hint="cs"/>
          <w:spacing w:val="-2"/>
          <w:rtl/>
        </w:rPr>
        <w:t xml:space="preserve"> وتأثَّر هذا الطيف الفكري بعدد من التيارات الفكرية، وهو في المحصّلة النهائية حصيلة للرؤية والنظرة السائدة في دائرة التفكير الثوري في إيران الذي يميل بشكل أكبر إلى أخلاق اليساريين مع تبنِّيه للتيارات المعادية للغلوّ والمنتسبة إلى الشيخين صالحي والمنتظري، ومن الطبيعي أن لا يكون مؤسسو هذه الحركة، وعلى رأسهم هاشمي نجاد، أوفياء كثيرًا لأفكار أولئك الأفراد جميعهم، وقد ادّعوا، هم أنفسهم، أنهم كانوا يعملون على بسط نفوذهم وتأثيرهم من وراء الستار، بل كانوا هم المُلْهِمِين لهذا الأمر.</w:t>
      </w:r>
    </w:p>
    <w:p w:rsidR="00DA6CFB" w:rsidRPr="0092648A" w:rsidRDefault="00DA6CFB" w:rsidP="0092648A">
      <w:pPr>
        <w:widowControl w:val="0"/>
        <w:spacing w:line="216" w:lineRule="auto"/>
        <w:ind w:firstLine="284"/>
        <w:jc w:val="both"/>
        <w:rPr>
          <w:rStyle w:val="Char"/>
          <w:rtl/>
        </w:rPr>
      </w:pPr>
      <w:r w:rsidRPr="0092648A">
        <w:rPr>
          <w:rStyle w:val="Char"/>
          <w:rFonts w:hint="cs"/>
          <w:rtl/>
        </w:rPr>
        <w:t xml:space="preserve">كتب السيد رجب علي طاهري، الذي أمضى فترةً في السجن مع هاشمي نجاد يقول عنه: </w:t>
      </w:r>
      <w:r w:rsidRPr="0092648A">
        <w:rPr>
          <w:rStyle w:val="Char"/>
          <w:rFonts w:hint="eastAsia"/>
          <w:rtl/>
        </w:rPr>
        <w:t>«ك</w:t>
      </w:r>
      <w:r w:rsidRPr="0092648A">
        <w:rPr>
          <w:rStyle w:val="Char"/>
          <w:rFonts w:hint="cs"/>
          <w:rtl/>
        </w:rPr>
        <w:t xml:space="preserve">ان هناك تشابه كبير بين أفكار السيد مهدي هاشمي نجاد وعقائده وبين أفكار وعقائد منظمة </w:t>
      </w:r>
      <w:r w:rsidRPr="0092648A">
        <w:rPr>
          <w:rStyle w:val="Char"/>
          <w:rFonts w:hint="eastAsia"/>
          <w:rtl/>
        </w:rPr>
        <w:t>م</w:t>
      </w:r>
      <w:r w:rsidRPr="0092648A">
        <w:rPr>
          <w:rStyle w:val="Char"/>
          <w:rFonts w:hint="cs"/>
          <w:rtl/>
        </w:rPr>
        <w:t>جاهدين خلق</w:t>
      </w:r>
      <w:r w:rsidRPr="0092648A">
        <w:rPr>
          <w:rStyle w:val="Char"/>
          <w:rFonts w:hint="eastAsia"/>
          <w:rtl/>
        </w:rPr>
        <w:t>،</w:t>
      </w:r>
      <w:r w:rsidRPr="0092648A">
        <w:rPr>
          <w:rStyle w:val="Char"/>
          <w:rFonts w:hint="cs"/>
          <w:rtl/>
        </w:rPr>
        <w:t xml:space="preserve"> ولما كنا نراه ونلاحظه عن كَثَب كنا نستطيع أن ندرك جيدًا ذهنيته وأفكاره وأفكار من يتَّفقون معه في الفكر والعقيدة. كان السيد مهدي هاشمي يفكر بطريقة تفكير «مجاهدين خلق» ذاتها، وخلافًا للمبدأ الذي كنا نؤمن به وعاهدنا عليه أنفسنا وهو أن لا نتحالف مع المجموعات غير المتدينة أو غير الدينية، وأن نعتمد في تحركنا على الحركة الأصيلة لعلماء الدين الشيعة، كان السيد هاشمي نجاد لا يؤمن أصلاً بعلماء الدين، ويعتقد، إضافةً إلى ذلك، بصحة طريق مجاهدين خلق!»</w:t>
      </w:r>
      <w:r w:rsidRPr="006E28E9">
        <w:rPr>
          <w:rStyle w:val="Char"/>
          <w:rFonts w:ascii="Arabic11 BT" w:hAnsi="Arabic11 BT" w:cs="Arabic11 BT"/>
          <w:vertAlign w:val="superscript"/>
          <w:rtl/>
        </w:rPr>
        <w:footnoteReference w:id="426"/>
      </w:r>
      <w:r w:rsidRPr="0092648A">
        <w:rPr>
          <w:rStyle w:val="Char"/>
          <w:rFonts w:hint="cs"/>
          <w:rtl/>
        </w:rPr>
        <w:t>.</w:t>
      </w:r>
    </w:p>
    <w:p w:rsidR="00DA6CFB" w:rsidRPr="0092648A" w:rsidRDefault="00DA6CFB" w:rsidP="0092648A">
      <w:pPr>
        <w:widowControl w:val="0"/>
        <w:spacing w:line="216" w:lineRule="auto"/>
        <w:ind w:firstLine="284"/>
        <w:jc w:val="both"/>
        <w:rPr>
          <w:rStyle w:val="Char"/>
          <w:rtl/>
        </w:rPr>
      </w:pPr>
      <w:r w:rsidRPr="0092648A">
        <w:rPr>
          <w:rStyle w:val="Char"/>
          <w:rFonts w:hint="cs"/>
          <w:rtl/>
        </w:rPr>
        <w:t>لقد حضر مهدي هاشمي</w:t>
      </w:r>
      <w:r w:rsidRPr="006E28E9">
        <w:rPr>
          <w:rStyle w:val="Char"/>
          <w:rFonts w:ascii="Arabic11 BT" w:hAnsi="Arabic11 BT" w:cs="Arabic11 BT"/>
          <w:vertAlign w:val="superscript"/>
          <w:rtl/>
        </w:rPr>
        <w:footnoteReference w:id="427"/>
      </w:r>
      <w:r w:rsidRPr="0092648A">
        <w:rPr>
          <w:rStyle w:val="Char"/>
          <w:rFonts w:hint="cs"/>
          <w:rtl/>
        </w:rPr>
        <w:t xml:space="preserve"> دروس الميرزا محمد جواد غروي، أحد زعماء الحركة المطالبة بالتصحيح وإصلاح عقائد الشيعة في مدينة أصفهان، وتعلَّم بعض الأفكار والعقائد من تلك الدروس التي كانت تُروَّجُ فيها - بكل وضوح - عقائد موافقة لعقائد أهل السنة على نحو من </w:t>
      </w:r>
      <w:r w:rsidRPr="0092648A">
        <w:rPr>
          <w:rStyle w:val="Char"/>
          <w:rFonts w:hint="cs"/>
          <w:rtl/>
        </w:rPr>
        <w:lastRenderedPageBreak/>
        <w:t>الأنحاء.</w:t>
      </w:r>
      <w:r w:rsidRPr="006E28E9">
        <w:rPr>
          <w:rStyle w:val="Char"/>
          <w:rFonts w:ascii="Arabic11 BT" w:hAnsi="Arabic11 BT" w:cs="Arabic11 BT"/>
          <w:vertAlign w:val="superscript"/>
          <w:rtl/>
        </w:rPr>
        <w:footnoteReference w:id="428"/>
      </w:r>
      <w:r w:rsidRPr="0092648A">
        <w:rPr>
          <w:rStyle w:val="Char"/>
          <w:rFonts w:hint="cs"/>
          <w:rtl/>
        </w:rPr>
        <w:t xml:space="preserve"> كان السيد مهدي هاشمي نجاد يعتقد أن أفكار الشيخ الغروي الأصفهاني أكثر انسجامًا مع نضالهم، وقد دعوا الشيخ الغروي إلى المجيء إلى مدرسة الصدر ليلقي فيها دروسًا في تفسير القرآن، وقد برَّر مهدي هاشمي قَتْلَ آيةِ الله شمس آبادي </w:t>
      </w:r>
      <w:r w:rsidRPr="009101A4">
        <w:rPr>
          <w:rFonts w:cs="Times New Roman" w:hint="cs"/>
          <w:rtl/>
        </w:rPr>
        <w:t>–</w:t>
      </w:r>
      <w:r w:rsidRPr="0092648A">
        <w:rPr>
          <w:rStyle w:val="Char"/>
          <w:rFonts w:hint="cs"/>
          <w:rtl/>
        </w:rPr>
        <w:t xml:space="preserve"> الذي حدث في شهر فروردين من عام 1355هـ.ش/ 1976م- بأن أفكاره كانت أفكار علماء الدين التقليديين، وهي بالطبع معارضة ومعادية لاستنباطات الشيخ الغروي و آرائه</w:t>
      </w:r>
      <w:r w:rsidRPr="006E28E9">
        <w:rPr>
          <w:rStyle w:val="Char"/>
          <w:rFonts w:ascii="Arabic11 BT" w:hAnsi="Arabic11 BT" w:cs="Arabic11 BT"/>
          <w:vertAlign w:val="superscript"/>
          <w:rtl/>
        </w:rPr>
        <w:footnoteReference w:id="429"/>
      </w:r>
      <w:r w:rsidRPr="0092648A">
        <w:rPr>
          <w:rStyle w:val="Char"/>
          <w:rFonts w:hint="cs"/>
          <w:rtl/>
        </w:rPr>
        <w:t xml:space="preserve">. </w:t>
      </w:r>
    </w:p>
    <w:p w:rsidR="00DA6CFB" w:rsidRPr="0092648A" w:rsidRDefault="00DA6CFB" w:rsidP="0092648A">
      <w:pPr>
        <w:widowControl w:val="0"/>
        <w:spacing w:line="216" w:lineRule="auto"/>
        <w:ind w:firstLine="284"/>
        <w:jc w:val="both"/>
        <w:rPr>
          <w:rStyle w:val="Char"/>
          <w:rtl/>
        </w:rPr>
      </w:pPr>
      <w:r w:rsidRPr="0092648A">
        <w:rPr>
          <w:rStyle w:val="Char"/>
          <w:rFonts w:hint="cs"/>
          <w:rtl/>
        </w:rPr>
        <w:t>كانت مواقف المرحوم شمس آبادي</w:t>
      </w:r>
      <w:r w:rsidRPr="006E28E9">
        <w:rPr>
          <w:rStyle w:val="Char"/>
          <w:rFonts w:ascii="Arabic11 BT" w:hAnsi="Arabic11 BT" w:cs="Arabic11 BT"/>
          <w:vertAlign w:val="superscript"/>
          <w:rtl/>
        </w:rPr>
        <w:footnoteReference w:id="430"/>
      </w:r>
      <w:r w:rsidRPr="0092648A">
        <w:rPr>
          <w:rStyle w:val="Char"/>
          <w:rFonts w:hint="cs"/>
          <w:rtl/>
        </w:rPr>
        <w:t xml:space="preserve"> ضد كتاب الشهيد الخالد أحد العوامل الأساسية التي أدت </w:t>
      </w:r>
      <w:r w:rsidRPr="0092648A">
        <w:rPr>
          <w:rStyle w:val="Char"/>
          <w:rFonts w:hint="cs"/>
          <w:rtl/>
        </w:rPr>
        <w:lastRenderedPageBreak/>
        <w:t>إلى قتله على أيدي مجموعة «الهدفيين».</w:t>
      </w:r>
      <w:r w:rsidRPr="006E28E9">
        <w:rPr>
          <w:rStyle w:val="Char"/>
          <w:rFonts w:ascii="Arabic11 BT" w:hAnsi="Arabic11 BT" w:cs="Arabic11 BT"/>
          <w:vertAlign w:val="superscript"/>
          <w:rtl/>
        </w:rPr>
        <w:footnoteReference w:id="431"/>
      </w:r>
      <w:r w:rsidRPr="0092648A">
        <w:rPr>
          <w:rStyle w:val="Char"/>
          <w:rFonts w:hint="cs"/>
          <w:rtl/>
        </w:rPr>
        <w:t xml:space="preserve"> كان هذا الأمر من المسائل التي طُرِحَت في اعترافات السيد مهدي هاشمي وأعوانه سنة 1356 هـ.ش [1977م] في المطبوعات. وما حصل بعد الثورة الإسلامية يدل على أن ذلك التيَّار كان تيّارًا متطرّفًا يجيز لنفسه استخدام أي نوع من الأدوات والوسائل لتحقيق أهدافه التي يعتبرها أهدافًا ثوريةً، كما يسعى أيضًا إلى الاستفادة من سمعة بعض علماء الدين ومكانتهم للتوصل إلى غاياته. ومن الخصائص الأخرى للسيد مهدي هاشمي التي برزت في اصطدامه بشمس آبادي وعدد آخر من علماء الدين التقليديين ومواجهته لهم، نظرته إلى </w:t>
      </w:r>
      <w:r w:rsidRPr="0092648A">
        <w:rPr>
          <w:rStyle w:val="Char"/>
          <w:rFonts w:hint="cs"/>
          <w:rtl/>
        </w:rPr>
        <w:lastRenderedPageBreak/>
        <w:t>مؤسسة علماء الدين الرسميين. إن طريقة نقده وعباراته الهجومية على علماء الدين التي وردت في رسالة صغيرة له عنوانها «</w:t>
      </w:r>
      <w:r w:rsidRPr="0092648A">
        <w:rPr>
          <w:rStyle w:val="Char8"/>
          <w:rFonts w:hint="cs"/>
          <w:rtl/>
        </w:rPr>
        <w:t xml:space="preserve">امام زمان </w:t>
      </w:r>
      <w:r w:rsidR="00924380" w:rsidRPr="008C7124">
        <w:rPr>
          <w:rStyle w:val="Char8"/>
          <w:rFonts w:cs="CTraditional Arabic" w:hint="cs"/>
          <w:b w:val="0"/>
          <w:bCs w:val="0"/>
          <w:sz w:val="28"/>
          <w:szCs w:val="28"/>
          <w:rtl/>
        </w:rPr>
        <w:t>÷</w:t>
      </w:r>
      <w:r w:rsidRPr="0092648A">
        <w:rPr>
          <w:rStyle w:val="Char8"/>
          <w:rFonts w:hint="cs"/>
          <w:rtl/>
        </w:rPr>
        <w:t xml:space="preserve"> و روحان</w:t>
      </w:r>
      <w:r w:rsidR="008C7124">
        <w:rPr>
          <w:rStyle w:val="Char8"/>
          <w:rFonts w:hint="cs"/>
          <w:rtl/>
        </w:rPr>
        <w:t>ی</w:t>
      </w:r>
      <w:r w:rsidRPr="0092648A">
        <w:rPr>
          <w:rStyle w:val="Char8"/>
          <w:rFonts w:hint="cs"/>
          <w:rtl/>
        </w:rPr>
        <w:t>ت وابسته</w:t>
      </w:r>
      <w:r w:rsidRPr="0092648A">
        <w:rPr>
          <w:rStyle w:val="Char"/>
          <w:rFonts w:hint="cs"/>
          <w:rtl/>
        </w:rPr>
        <w:t>» [إمام الزمان وعلماء الدين المرتبطين العملاء]،</w:t>
      </w:r>
      <w:r w:rsidRPr="006E28E9">
        <w:rPr>
          <w:rStyle w:val="Char"/>
          <w:rFonts w:ascii="Arabic11 BT" w:hAnsi="Arabic11 BT" w:cs="Arabic11 BT"/>
          <w:vertAlign w:val="superscript"/>
          <w:rtl/>
        </w:rPr>
        <w:footnoteReference w:id="432"/>
      </w:r>
      <w:r w:rsidRPr="0092648A">
        <w:rPr>
          <w:rStyle w:val="Char"/>
          <w:rFonts w:hint="cs"/>
          <w:rtl/>
        </w:rPr>
        <w:t xml:space="preserve"> تُظْهِر بوضوح نظرته المتطرّفة في هذا المجال.</w:t>
      </w:r>
      <w:r w:rsidRPr="006E28E9">
        <w:rPr>
          <w:rStyle w:val="Char"/>
          <w:rFonts w:ascii="Arabic11 BT" w:hAnsi="Arabic11 BT" w:cs="Arabic11 BT"/>
          <w:vertAlign w:val="superscript"/>
          <w:rtl/>
        </w:rPr>
        <w:footnoteReference w:id="433"/>
      </w:r>
    </w:p>
    <w:p w:rsidR="00DA6CFB" w:rsidRPr="0092648A" w:rsidRDefault="00DA6CFB" w:rsidP="0092648A">
      <w:pPr>
        <w:widowControl w:val="0"/>
        <w:spacing w:line="216" w:lineRule="auto"/>
        <w:ind w:firstLine="284"/>
        <w:jc w:val="both"/>
        <w:rPr>
          <w:rStyle w:val="Char"/>
          <w:rtl/>
        </w:rPr>
      </w:pPr>
      <w:r w:rsidRPr="0092648A">
        <w:rPr>
          <w:rStyle w:val="Char"/>
          <w:rFonts w:hint="cs"/>
          <w:rtl/>
        </w:rPr>
        <w:t>من الآثار والتبعات الأخرى لقضية مهدي هاشمي، إيجاد اختلاف عميق بين آية الله طاهري وآية الله خادمي في أصفهان بعد الثورة.</w:t>
      </w:r>
      <w:r w:rsidRPr="006E28E9">
        <w:rPr>
          <w:rStyle w:val="Char"/>
          <w:rFonts w:ascii="Arabic11 BT" w:hAnsi="Arabic11 BT" w:cs="Arabic11 BT"/>
          <w:vertAlign w:val="superscript"/>
          <w:rtl/>
        </w:rPr>
        <w:footnoteReference w:id="434"/>
      </w:r>
      <w:r w:rsidRPr="0092648A">
        <w:rPr>
          <w:rStyle w:val="Char"/>
          <w:rFonts w:hint="cs"/>
          <w:rtl/>
        </w:rPr>
        <w:t xml:space="preserve"> كان آية الله خادمي يبذل جهوداً نشطة في محاربة كتاب شهيد جاويد إلى جانب آية الله شمس آبادي،</w:t>
      </w:r>
      <w:r w:rsidRPr="006E28E9">
        <w:rPr>
          <w:rStyle w:val="Char"/>
          <w:rFonts w:ascii="Arabic11 BT" w:hAnsi="Arabic11 BT" w:cs="Arabic11 BT"/>
          <w:vertAlign w:val="superscript"/>
          <w:rtl/>
        </w:rPr>
        <w:footnoteReference w:id="435"/>
      </w:r>
      <w:r w:rsidRPr="0092648A">
        <w:rPr>
          <w:rStyle w:val="Char"/>
          <w:rFonts w:hint="cs"/>
          <w:rtl/>
        </w:rPr>
        <w:t xml:space="preserve"> وقد بقيت هذه السابقة في ذهن مجموعة هاشمي. لقد خلقت الدعايات التي كانت تبثُّها هذه المجموعة تصوُّرًا يوهم بأن السيد خاتمي لم يكن له أي صلة بالثورة. مع أن ذلك التصور لا أساس له من الصحة مطلقًا. وقد ترك هذا التصور انعكاسات وآثارًا في المدينة، تجلَّت في نشأة اختلاف وانقسام بين أهالي هذه المدينة وظهور أزمات أثَّرَت تأثيرًا عميقًا على السلوك السياسي لأهالي هذه المدينة.</w:t>
      </w:r>
    </w:p>
    <w:p w:rsidR="00DA6CFB" w:rsidRPr="002409E8" w:rsidRDefault="00DA6CFB" w:rsidP="002409E8">
      <w:pPr>
        <w:pStyle w:val="a7"/>
        <w:jc w:val="center"/>
        <w:rPr>
          <w:rtl/>
        </w:rPr>
      </w:pPr>
      <w:r w:rsidRPr="002409E8">
        <w:rPr>
          <w:rStyle w:val="Char8"/>
          <w:rFonts w:cs="mylotus" w:hint="cs"/>
          <w:b/>
          <w:bCs/>
          <w:sz w:val="26"/>
          <w:szCs w:val="26"/>
          <w:rtl/>
          <w:lang w:bidi="ar-SA"/>
        </w:rPr>
        <w:t>وآخر دعوانا أن الحمد لله رب العالمين</w:t>
      </w:r>
      <w:r w:rsidRPr="002409E8">
        <w:rPr>
          <w:rStyle w:val="Char"/>
          <w:rFonts w:hint="cs"/>
          <w:sz w:val="26"/>
          <w:szCs w:val="26"/>
          <w:rtl/>
        </w:rPr>
        <w:t>.</w:t>
      </w:r>
    </w:p>
    <w:sectPr w:rsidR="00DA6CFB" w:rsidRPr="002409E8" w:rsidSect="00DA6CFB">
      <w:headerReference w:type="default" r:id="rId18"/>
      <w:footnotePr>
        <w:numRestart w:val="eachPage"/>
      </w:footnotePr>
      <w:pgSz w:w="9356" w:h="13608" w:code="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272" w:rsidRDefault="00E11272" w:rsidP="00F62BA0">
      <w:pPr>
        <w:pStyle w:val="PlainText"/>
      </w:pPr>
      <w:r>
        <w:separator/>
      </w:r>
    </w:p>
  </w:endnote>
  <w:endnote w:type="continuationSeparator" w:id="0">
    <w:p w:rsidR="00E11272" w:rsidRDefault="00E11272"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2FF" w:usb1="0000FCFF" w:usb2="00000001"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rabic11 BT">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bo-thar">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272" w:rsidRDefault="00E11272" w:rsidP="00F62BA0">
      <w:pPr>
        <w:pStyle w:val="PlainText"/>
      </w:pPr>
      <w:r>
        <w:separator/>
      </w:r>
    </w:p>
  </w:footnote>
  <w:footnote w:type="continuationSeparator" w:id="0">
    <w:p w:rsidR="00E11272" w:rsidRDefault="00E11272" w:rsidP="00F62BA0">
      <w:pPr>
        <w:pStyle w:val="PlainText"/>
      </w:pPr>
      <w:r>
        <w:continuationSeparator/>
      </w:r>
    </w:p>
  </w:footnote>
  <w:footnote w:id="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Char9"/>
          <w:rFonts w:hint="cs"/>
          <w:sz w:val="20"/>
          <w:szCs w:val="20"/>
          <w:rtl/>
        </w:rPr>
        <w:t>خاطرات عَلَم</w:t>
      </w:r>
      <w:r w:rsidRPr="006E28E9">
        <w:rPr>
          <w:rStyle w:val="FootnoteReference"/>
          <w:rFonts w:hint="cs"/>
          <w:vertAlign w:val="baseline"/>
          <w:rtl/>
        </w:rPr>
        <w:t xml:space="preserve"> [مذكَّرات عَلَم]، ج 6، ص 458.</w:t>
      </w:r>
    </w:p>
  </w:footnote>
  <w:footnote w:id="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xml:space="preserve">، ص 43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44.</w:t>
      </w:r>
    </w:p>
  </w:footnote>
  <w:footnote w:id="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ينبغي أ</w:t>
      </w:r>
      <w:r w:rsidRPr="006E28E9">
        <w:rPr>
          <w:rFonts w:hint="cs"/>
          <w:rtl/>
        </w:rPr>
        <w:t xml:space="preserve">ن </w:t>
      </w:r>
      <w:r w:rsidRPr="006E28E9">
        <w:rPr>
          <w:rStyle w:val="FootnoteReference"/>
          <w:rFonts w:hint="cs"/>
          <w:vertAlign w:val="baseline"/>
          <w:rtl/>
        </w:rPr>
        <w:t xml:space="preserve">لا نتصور أن أفكاراً جِدِّيَّةً وجديدةً في هذا المجال لم يكن لها وجود في إيران، </w:t>
      </w:r>
      <w:r w:rsidRPr="006E28E9">
        <w:rPr>
          <w:rFonts w:hint="cs"/>
          <w:rtl/>
        </w:rPr>
        <w:t xml:space="preserve">بل كانت موجودة لكن المهم أنه </w:t>
      </w:r>
      <w:r w:rsidRPr="006E28E9">
        <w:rPr>
          <w:rStyle w:val="FootnoteReference"/>
          <w:rFonts w:hint="cs"/>
          <w:vertAlign w:val="baseline"/>
          <w:rtl/>
        </w:rPr>
        <w:t>لم تكن ه</w:t>
      </w:r>
      <w:r w:rsidRPr="006E28E9">
        <w:rPr>
          <w:rFonts w:hint="cs"/>
          <w:rtl/>
        </w:rPr>
        <w:t>ناك</w:t>
      </w:r>
      <w:r w:rsidRPr="006E28E9">
        <w:rPr>
          <w:rStyle w:val="FootnoteReference"/>
          <w:rFonts w:hint="cs"/>
          <w:vertAlign w:val="baseline"/>
          <w:rtl/>
        </w:rPr>
        <w:t xml:space="preserve"> ا</w:t>
      </w:r>
      <w:r w:rsidRPr="006E28E9">
        <w:rPr>
          <w:rFonts w:hint="cs"/>
          <w:rtl/>
        </w:rPr>
        <w:t>لحاضنة</w:t>
      </w:r>
      <w:r w:rsidRPr="006E28E9">
        <w:rPr>
          <w:rStyle w:val="FootnoteReference"/>
          <w:rFonts w:hint="cs"/>
          <w:vertAlign w:val="baseline"/>
          <w:rtl/>
        </w:rPr>
        <w:t xml:space="preserve"> السياسية اللازمة لنجاح ت</w:t>
      </w:r>
      <w:r w:rsidRPr="006E28E9">
        <w:rPr>
          <w:rFonts w:hint="cs"/>
          <w:rtl/>
        </w:rPr>
        <w:t>لك الأفكار</w:t>
      </w:r>
      <w:r w:rsidRPr="006E28E9">
        <w:rPr>
          <w:rStyle w:val="FootnoteReference"/>
          <w:rFonts w:hint="cs"/>
          <w:vertAlign w:val="baseline"/>
          <w:rtl/>
        </w:rPr>
        <w:t>. في سنة 1301هـ.ش</w:t>
      </w:r>
      <w:r w:rsidRPr="006E28E9">
        <w:rPr>
          <w:rFonts w:hint="cs"/>
          <w:rtl/>
        </w:rPr>
        <w:t>/1922م</w:t>
      </w:r>
      <w:r w:rsidRPr="006E28E9">
        <w:rPr>
          <w:rStyle w:val="FootnoteReference"/>
          <w:rFonts w:hint="cs"/>
          <w:vertAlign w:val="baseline"/>
          <w:rtl/>
        </w:rPr>
        <w:t xml:space="preserve"> تشكلت في طهران جمعية باسم «</w:t>
      </w:r>
      <w:r w:rsidRPr="006E28E9">
        <w:rPr>
          <w:rStyle w:val="FootnoteReference"/>
          <w:rFonts w:hint="cs"/>
          <w:b/>
          <w:bCs/>
          <w:vertAlign w:val="baseline"/>
          <w:rtl/>
        </w:rPr>
        <w:t>جمعية نهضة الإسلام</w:t>
      </w:r>
      <w:r w:rsidRPr="006E28E9">
        <w:rPr>
          <w:rStyle w:val="FootnoteReference"/>
          <w:rFonts w:hint="cs"/>
          <w:vertAlign w:val="baseline"/>
          <w:rtl/>
        </w:rPr>
        <w:t>» كان لها أهداف متقدمة ومتطورة إلى درجة مدهشة،</w:t>
      </w:r>
      <w:r w:rsidRPr="006E28E9">
        <w:rPr>
          <w:rFonts w:hint="cs"/>
          <w:rtl/>
        </w:rPr>
        <w:t xml:space="preserve"> </w:t>
      </w:r>
      <w:r w:rsidRPr="006E28E9">
        <w:rPr>
          <w:rStyle w:val="FootnoteReference"/>
          <w:rFonts w:hint="cs"/>
          <w:vertAlign w:val="baseline"/>
          <w:rtl/>
        </w:rPr>
        <w:t>و</w:t>
      </w:r>
      <w:r w:rsidRPr="006E28E9">
        <w:rPr>
          <w:rFonts w:hint="cs"/>
          <w:rtl/>
        </w:rPr>
        <w:t xml:space="preserve">لم تكن أهدافها </w:t>
      </w:r>
      <w:r w:rsidRPr="006E28E9">
        <w:rPr>
          <w:rStyle w:val="FootnoteReference"/>
          <w:rFonts w:hint="cs"/>
          <w:vertAlign w:val="baseline"/>
          <w:rtl/>
        </w:rPr>
        <w:t>ت</w:t>
      </w:r>
      <w:r w:rsidRPr="006E28E9">
        <w:rPr>
          <w:rFonts w:hint="cs"/>
          <w:rtl/>
        </w:rPr>
        <w:t>قتصر</w:t>
      </w:r>
      <w:r w:rsidRPr="006E28E9">
        <w:rPr>
          <w:rStyle w:val="FootnoteReference"/>
          <w:rFonts w:hint="cs"/>
          <w:vertAlign w:val="baseline"/>
          <w:rtl/>
        </w:rPr>
        <w:t xml:space="preserve"> على إيران فقط بل على العالم الإسلامي كله. القسم الأول من رسالة الأهداف الخاصة بهذه الجمعية «يتعلق بعالم الإسلام» والقسم الثاني كان «خاصًّا بإيران». ذُكِرَ في القسم الأول كلام</w:t>
      </w:r>
      <w:r w:rsidRPr="006E28E9">
        <w:rPr>
          <w:rFonts w:hint="cs"/>
          <w:rtl/>
        </w:rPr>
        <w:t>ٌ</w:t>
      </w:r>
      <w:r w:rsidRPr="006E28E9">
        <w:rPr>
          <w:rStyle w:val="FootnoteReference"/>
          <w:rFonts w:hint="cs"/>
          <w:vertAlign w:val="baseline"/>
          <w:rtl/>
        </w:rPr>
        <w:t xml:space="preserve"> عن «السعي إلى تقوية شوكة عالم الإسلام وعظمته وحفظ أحكام الشريعة الإسلامية وتطبيقها، وإعداد السبل الكفيلة بإقامة العلاقات بين الفرق والأحزاب والجمعيات والمنظمات السياسية للشعوب والدول الإسلامية وإيجاد الائتلاف والاتحاد بين المسلمين» و«إرسال دعاة خاصين إلى البلدان الإسلامية في آسيا وأوروبا وأفريقيا لإيجاد الاتحاد والاتفاق بين عامة المسلمين في العالم»، بالإضافة إلى مبادئ وغايات مدهشة أخرى من جملتها: «التصدي للسياسات الأوروبية المعادية للإسلام وتوعية دنيا اليوم التائهة وجميع ملل العالم بفلسفة أحكام دين الإسلام المبين والحضارة الإسلامية ومزاياها» وأنه «لابد من تشكيل دائرة خاصة بالدعوة في جميع أنحاء العالم». (</w:t>
      </w:r>
      <w:r w:rsidRPr="006E28E9">
        <w:rPr>
          <w:rStyle w:val="Char9"/>
          <w:rFonts w:hint="cs"/>
          <w:sz w:val="20"/>
          <w:szCs w:val="20"/>
          <w:rtl/>
        </w:rPr>
        <w:t>چالش مذهب و مدرن</w:t>
      </w:r>
      <w:r>
        <w:rPr>
          <w:rStyle w:val="Char9"/>
          <w:rFonts w:hint="cs"/>
          <w:sz w:val="20"/>
          <w:szCs w:val="20"/>
          <w:rtl/>
        </w:rPr>
        <w:t>ی</w:t>
      </w:r>
      <w:r w:rsidRPr="006E28E9">
        <w:rPr>
          <w:rStyle w:val="Char9"/>
          <w:rFonts w:hint="cs"/>
          <w:sz w:val="20"/>
          <w:szCs w:val="20"/>
          <w:rtl/>
        </w:rPr>
        <w:t>سم</w:t>
      </w:r>
      <w:r w:rsidRPr="006E28E9">
        <w:rPr>
          <w:rStyle w:val="FootnoteReference"/>
          <w:rFonts w:hint="cs"/>
          <w:vertAlign w:val="baseline"/>
          <w:rtl/>
        </w:rPr>
        <w:t xml:space="preserve"> [الصراع بين الدين والعصرنة]، ص 502، أصل أهداف الجمعية ومبادئها في صحيفة </w:t>
      </w:r>
      <w:r w:rsidRPr="006E28E9">
        <w:rPr>
          <w:rStyle w:val="FootnoteReference"/>
          <w:vertAlign w:val="baseline"/>
          <w:rtl/>
        </w:rPr>
        <w:t>گ</w:t>
      </w:r>
      <w:r w:rsidRPr="006E28E9">
        <w:rPr>
          <w:rStyle w:val="FootnoteReference"/>
          <w:rFonts w:hint="cs"/>
          <w:vertAlign w:val="baseline"/>
          <w:rtl/>
        </w:rPr>
        <w:t>لشن، العدد 34، سنة 1301 هـ.ش</w:t>
      </w:r>
      <w:r w:rsidRPr="006E28E9">
        <w:rPr>
          <w:rFonts w:hint="cs"/>
          <w:rtl/>
        </w:rPr>
        <w:t>/ 1922م</w:t>
      </w:r>
      <w:r w:rsidRPr="006E28E9">
        <w:rPr>
          <w:rStyle w:val="FootnoteReference"/>
          <w:rFonts w:hint="cs"/>
          <w:vertAlign w:val="baseline"/>
          <w:rtl/>
        </w:rPr>
        <w:t>). كان هذا الجو بالطبع أثناء ذروة الضغوط الأوروبية ضد الدولة والعثمانية وتفكك تلك الدولة، وقد جاء الحديث في رسالة الأهداف هذه ذاتها عن «حرية الدولة العثمانية واستقلالها التام». ويشبه ذلك جمعية أخرى نشأت في إيران سنة 1336 هـ.ق/1297هـ.ش، وسُمِّيَت «</w:t>
      </w:r>
      <w:r w:rsidRPr="006E28E9">
        <w:rPr>
          <w:rStyle w:val="Char9"/>
          <w:rFonts w:hint="cs"/>
          <w:sz w:val="20"/>
          <w:szCs w:val="20"/>
          <w:rtl/>
        </w:rPr>
        <w:t>جماع</w:t>
      </w:r>
      <w:r>
        <w:rPr>
          <w:rStyle w:val="Char9"/>
          <w:rFonts w:hint="cs"/>
          <w:sz w:val="20"/>
          <w:szCs w:val="20"/>
          <w:rtl/>
        </w:rPr>
        <w:t>ۀ</w:t>
      </w:r>
      <w:r w:rsidRPr="006E28E9">
        <w:rPr>
          <w:rStyle w:val="Char9"/>
          <w:rFonts w:hint="cs"/>
          <w:sz w:val="20"/>
          <w:szCs w:val="20"/>
          <w:rtl/>
        </w:rPr>
        <w:t xml:space="preserve"> الاستقلال واتحاد الإسلام</w:t>
      </w:r>
      <w:r w:rsidRPr="006E28E9">
        <w:rPr>
          <w:rStyle w:val="FootnoteReference"/>
          <w:rFonts w:hint="cs"/>
          <w:vertAlign w:val="baseline"/>
          <w:rtl/>
        </w:rPr>
        <w:t xml:space="preserve">» وكانت أيضًا تسعى إلى وحدة العالم الإسلامي الذي بدأته الدولة العثمانية. وكانت رسالة الغايات والأهداف الخاصة بهذه الجمعية تستند إلى نوع من الفكر الديني الحديث والمتنوِّر. في القسم المتعلق بِـ «الأمور الروحية» تم الحديث عن «نشر دائرة اتحاد الإسلام وتوسيعها من خلال إرسال الدعاة إلى جميع الأنحاء ودعوة عامة المسلمين إلى الوحدة والاتحاد». كما تم الحديث أيضًا عن «المحافظة على علماء الإسلام الأعلام وعلى احترام رجال الدين» وأمور أخرى. انظروا: </w:t>
      </w:r>
      <w:r w:rsidRPr="006E28E9">
        <w:rPr>
          <w:rStyle w:val="Char9"/>
          <w:rFonts w:hint="cs"/>
          <w:sz w:val="20"/>
          <w:szCs w:val="20"/>
          <w:rtl/>
        </w:rPr>
        <w:t>چالش مذهب و مدرن</w:t>
      </w:r>
      <w:r>
        <w:rPr>
          <w:rStyle w:val="Char9"/>
          <w:rFonts w:hint="cs"/>
          <w:sz w:val="20"/>
          <w:szCs w:val="20"/>
          <w:rtl/>
        </w:rPr>
        <w:t>ی</w:t>
      </w:r>
      <w:r w:rsidRPr="006E28E9">
        <w:rPr>
          <w:rStyle w:val="Char9"/>
          <w:rFonts w:hint="cs"/>
          <w:sz w:val="20"/>
          <w:szCs w:val="20"/>
          <w:rtl/>
        </w:rPr>
        <w:t xml:space="preserve">سم </w:t>
      </w:r>
      <w:r w:rsidRPr="006E28E9">
        <w:rPr>
          <w:rStyle w:val="FootnoteReference"/>
          <w:rFonts w:hint="cs"/>
          <w:vertAlign w:val="baseline"/>
          <w:rtl/>
        </w:rPr>
        <w:t>[الصراع بين الدين والعصرنة]، ص 551. و نص رسالة الأهداف منقول عن صحيفة كوكب إيران، العدد 38، ربيع الثاني 1336 هـ.ق</w:t>
      </w:r>
      <w:r w:rsidRPr="006E28E9">
        <w:rPr>
          <w:rFonts w:hint="cs"/>
          <w:rtl/>
        </w:rPr>
        <w:t>/ 1918م</w:t>
      </w:r>
      <w:r w:rsidRPr="006E28E9">
        <w:rPr>
          <w:rStyle w:val="FootnoteReference"/>
          <w:rFonts w:hint="cs"/>
          <w:vertAlign w:val="baseline"/>
          <w:rtl/>
        </w:rPr>
        <w:t>، وفرقة الديمقراطية الإسلامية نموذج آخر لهذا التيار وقد أ</w:t>
      </w:r>
      <w:r w:rsidRPr="006E28E9">
        <w:rPr>
          <w:rFonts w:hint="cs"/>
          <w:rtl/>
        </w:rPr>
        <w:t>ُنْشِئت</w:t>
      </w:r>
      <w:r w:rsidRPr="006E28E9">
        <w:rPr>
          <w:rStyle w:val="FootnoteReference"/>
          <w:rFonts w:hint="cs"/>
          <w:vertAlign w:val="baseline"/>
          <w:rtl/>
        </w:rPr>
        <w:t xml:space="preserve"> أيضًا سنة 1297 هـ.ش</w:t>
      </w:r>
      <w:r w:rsidRPr="006E28E9">
        <w:rPr>
          <w:rFonts w:hint="cs"/>
          <w:rtl/>
        </w:rPr>
        <w:t>/ 1918م.</w:t>
      </w:r>
      <w:r w:rsidRPr="006E28E9">
        <w:rPr>
          <w:rStyle w:val="FootnoteReference"/>
          <w:rFonts w:hint="cs"/>
          <w:vertAlign w:val="baseline"/>
          <w:rtl/>
        </w:rPr>
        <w:t xml:space="preserve"> </w:t>
      </w:r>
      <w:r w:rsidRPr="006E28E9">
        <w:rPr>
          <w:rStyle w:val="FootnoteReference"/>
          <w:rFonts w:hint="cs"/>
          <w:b/>
          <w:bCs/>
          <w:vertAlign w:val="baseline"/>
          <w:rtl/>
        </w:rPr>
        <w:t>المصدر ن</w:t>
      </w:r>
      <w:r w:rsidRPr="006E28E9">
        <w:rPr>
          <w:rFonts w:hint="cs"/>
          <w:b/>
          <w:bCs/>
          <w:rtl/>
        </w:rPr>
        <w:t>فسه</w:t>
      </w:r>
      <w:r w:rsidRPr="006E28E9">
        <w:rPr>
          <w:rStyle w:val="FootnoteReference"/>
          <w:rFonts w:hint="cs"/>
          <w:vertAlign w:val="baseline"/>
          <w:rtl/>
        </w:rPr>
        <w:t xml:space="preserve">، ص 553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558.</w:t>
      </w:r>
    </w:p>
  </w:footnote>
  <w:footnote w:id="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لقد أدت هذه الضغوطات إلى توق</w:t>
      </w:r>
      <w:r w:rsidRPr="006E28E9">
        <w:rPr>
          <w:rFonts w:hint="cs"/>
          <w:rtl/>
        </w:rPr>
        <w:t>ُّ</w:t>
      </w:r>
      <w:r w:rsidRPr="006E28E9">
        <w:rPr>
          <w:rStyle w:val="FootnoteReference"/>
          <w:rFonts w:hint="cs"/>
          <w:vertAlign w:val="baseline"/>
          <w:rtl/>
        </w:rPr>
        <w:t>ف مراكز الدراسات الدينية من جهة، كما أدت من جهة أخرى إلى خروج علماء الدين من اللباس التقليدي الخاص بهم أو إلى إخراج الشاه لهم عنه جبر</w:t>
      </w:r>
      <w:r w:rsidRPr="006E28E9">
        <w:rPr>
          <w:rFonts w:hint="cs"/>
          <w:rtl/>
        </w:rPr>
        <w:t>ً</w:t>
      </w:r>
      <w:r w:rsidRPr="006E28E9">
        <w:rPr>
          <w:rStyle w:val="FootnoteReference"/>
          <w:rFonts w:hint="cs"/>
          <w:vertAlign w:val="baseline"/>
          <w:rtl/>
        </w:rPr>
        <w:t xml:space="preserve">ا، وإلى اشتغال علماء الدين هؤلاء بأعمال أخرى منها الأعمال المتعلقة بالشؤون القضائية. وكنموذج على ذلك لاحظوا ما ذكره آية الله أديب بشأن توقف الحوزة العلمية في أصفهان، في: </w:t>
      </w:r>
      <w:r w:rsidRPr="006E28E9">
        <w:rPr>
          <w:rStyle w:val="FootnoteReference"/>
          <w:rFonts w:hint="cs"/>
          <w:b/>
          <w:bCs/>
          <w:vertAlign w:val="baseline"/>
          <w:rtl/>
        </w:rPr>
        <w:t>مجلة الحوزة</w:t>
      </w:r>
      <w:r w:rsidRPr="006E28E9">
        <w:rPr>
          <w:rStyle w:val="FootnoteReference"/>
          <w:rFonts w:hint="cs"/>
          <w:vertAlign w:val="baseline"/>
          <w:rtl/>
        </w:rPr>
        <w:t>، السنة 5، العدد 2، ص 29. طبقاً لما ذكره السيد سلطاني بلغ مجموع من بقي من طلاب العلوم الدينية في قم حوالي ثلاثمئة ط</w:t>
      </w:r>
      <w:r w:rsidRPr="006E28E9">
        <w:rPr>
          <w:rFonts w:hint="cs"/>
          <w:rtl/>
        </w:rPr>
        <w:t>الب</w:t>
      </w:r>
      <w:r w:rsidRPr="006E28E9">
        <w:rPr>
          <w:rStyle w:val="FootnoteReference"/>
          <w:rFonts w:hint="cs"/>
          <w:vertAlign w:val="baseline"/>
          <w:rtl/>
        </w:rPr>
        <w:t xml:space="preserve"> فقط. انظر: </w:t>
      </w:r>
      <w:r w:rsidRPr="006E28E9">
        <w:rPr>
          <w:rStyle w:val="FootnoteReference"/>
          <w:rFonts w:hint="cs"/>
          <w:b/>
          <w:bCs/>
          <w:vertAlign w:val="baseline"/>
          <w:rtl/>
        </w:rPr>
        <w:t>مجلة الحوزة</w:t>
      </w:r>
      <w:r w:rsidRPr="006E28E9">
        <w:rPr>
          <w:rStyle w:val="FootnoteReference"/>
          <w:rFonts w:hint="cs"/>
          <w:vertAlign w:val="baseline"/>
          <w:rtl/>
        </w:rPr>
        <w:t>، العدد 43 - 44، ص 47.</w:t>
      </w:r>
    </w:p>
  </w:footnote>
  <w:footnote w:id="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يمكننا على س</w:t>
      </w:r>
      <w:r w:rsidRPr="006E28E9">
        <w:rPr>
          <w:rFonts w:hint="cs"/>
          <w:rtl/>
        </w:rPr>
        <w:t>ب</w:t>
      </w:r>
      <w:r w:rsidRPr="006E28E9">
        <w:rPr>
          <w:rStyle w:val="FootnoteReference"/>
          <w:rFonts w:hint="cs"/>
          <w:vertAlign w:val="baseline"/>
          <w:rtl/>
        </w:rPr>
        <w:t xml:space="preserve">يل المثال ملاحظة أشعار الميرزا يحيى دولة آبادي حول علماء الدين التي أوردها محمد علي جمال زاده في مقال تحت عنوان «آخوند داريم و آخوند» [لدينا شيخ وشيخ] وهو عنوان قصة من تأليفه، والمقال نشره جمال زاده في مجلة </w:t>
      </w:r>
      <w:r w:rsidRPr="006E28E9">
        <w:rPr>
          <w:rStyle w:val="FootnoteReference"/>
          <w:rFonts w:hint="cs"/>
          <w:b/>
          <w:bCs/>
          <w:vertAlign w:val="baseline"/>
          <w:rtl/>
        </w:rPr>
        <w:t>كاوة</w:t>
      </w:r>
      <w:r w:rsidRPr="006E28E9">
        <w:rPr>
          <w:rStyle w:val="FootnoteReference"/>
          <w:rFonts w:hint="cs"/>
          <w:vertAlign w:val="baseline"/>
          <w:rtl/>
        </w:rPr>
        <w:t>، العدد 54، (شهر مهر سنة 1353 هـ.ش/1974م، طبع ميونخ ألمانيا)، ص 16. كما نشاهد في دواوين الشعراء إيرج وعارف وعشقي أبيات كثيرة ضد علماء الدين، وقد قام شجاع الدين شفا ب</w:t>
      </w:r>
      <w:r w:rsidRPr="006E28E9">
        <w:rPr>
          <w:rFonts w:hint="cs"/>
          <w:rtl/>
        </w:rPr>
        <w:t>جمع</w:t>
      </w:r>
      <w:r w:rsidRPr="006E28E9">
        <w:rPr>
          <w:rStyle w:val="FootnoteReference"/>
          <w:rFonts w:hint="cs"/>
          <w:vertAlign w:val="baseline"/>
          <w:rtl/>
        </w:rPr>
        <w:t xml:space="preserve"> مجموعة من هذه الأشعار وطبعها في كتاب مستقل</w:t>
      </w:r>
      <w:r w:rsidRPr="006E28E9">
        <w:rPr>
          <w:rFonts w:hint="cs"/>
          <w:rtl/>
        </w:rPr>
        <w:t>.</w:t>
      </w:r>
      <w:r w:rsidRPr="006E28E9">
        <w:rPr>
          <w:rStyle w:val="FootnoteReference"/>
          <w:rFonts w:hint="cs"/>
          <w:vertAlign w:val="baseline"/>
          <w:rtl/>
        </w:rPr>
        <w:t xml:space="preserve">   </w:t>
      </w:r>
    </w:p>
  </w:footnote>
  <w:footnote w:id="6">
    <w:p w:rsidR="008C7124"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يقول ملك الشعراء بهار: (</w:t>
      </w:r>
      <w:r w:rsidRPr="008C7124">
        <w:rPr>
          <w:rStyle w:val="Char9"/>
          <w:sz w:val="20"/>
          <w:szCs w:val="20"/>
          <w:rtl/>
        </w:rPr>
        <w:t>د</w:t>
      </w:r>
      <w:r>
        <w:rPr>
          <w:rStyle w:val="Char9"/>
          <w:sz w:val="20"/>
          <w:szCs w:val="20"/>
          <w:rtl/>
        </w:rPr>
        <w:t>ی</w:t>
      </w:r>
      <w:r w:rsidRPr="008C7124">
        <w:rPr>
          <w:rStyle w:val="Char9"/>
          <w:sz w:val="20"/>
          <w:szCs w:val="20"/>
          <w:rtl/>
        </w:rPr>
        <w:t>وان بهار</w:t>
      </w:r>
      <w:r w:rsidRPr="006E28E9">
        <w:rPr>
          <w:rStyle w:val="FootnoteReference"/>
          <w:vertAlign w:val="baseline"/>
          <w:rtl/>
        </w:rPr>
        <w:t>، ج 1، ص 284):</w:t>
      </w:r>
      <w:r w:rsidRPr="006E28E9">
        <w:rPr>
          <w:rFonts w:hint="cs"/>
          <w:rtl/>
        </w:rPr>
        <w:t xml:space="preserve"> (</w:t>
      </w:r>
      <w:r w:rsidRPr="006E28E9">
        <w:rPr>
          <w:rStyle w:val="FootnoteReference"/>
          <w:vertAlign w:val="baseline"/>
          <w:rtl/>
        </w:rPr>
        <w:t xml:space="preserve">بيتان من الشعر </w:t>
      </w:r>
      <w:r w:rsidRPr="006E28E9">
        <w:rPr>
          <w:rStyle w:val="FootnoteReference"/>
          <w:rFonts w:hint="cs"/>
          <w:vertAlign w:val="baseline"/>
          <w:rtl/>
        </w:rPr>
        <w:t>بالفارسية و</w:t>
      </w:r>
      <w:r w:rsidRPr="006E28E9">
        <w:rPr>
          <w:rStyle w:val="FootnoteReference"/>
          <w:vertAlign w:val="baseline"/>
          <w:rtl/>
        </w:rPr>
        <w:t>ترجمتهما</w:t>
      </w:r>
      <w:r w:rsidRPr="006E28E9">
        <w:rPr>
          <w:rStyle w:val="FootnoteReference"/>
          <w:rFonts w:hint="cs"/>
          <w:vertAlign w:val="baseline"/>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4"/>
        <w:gridCol w:w="3544"/>
      </w:tblGrid>
      <w:tr w:rsidR="008C7124" w:rsidTr="006E28E9">
        <w:tc>
          <w:tcPr>
            <w:tcW w:w="3827"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Style w:val="FootnoteReference"/>
                <w:vertAlign w:val="baseline"/>
                <w:rtl/>
              </w:rPr>
              <w:t>إما الموت أو التجدد والإصلاح</w:t>
            </w:r>
            <w:r>
              <w:rPr>
                <w:rFonts w:hint="cs"/>
                <w:rtl/>
              </w:rPr>
              <w:br/>
            </w:r>
          </w:p>
        </w:tc>
        <w:tc>
          <w:tcPr>
            <w:tcW w:w="284" w:type="dxa"/>
          </w:tcPr>
          <w:p w:rsidR="008C7124" w:rsidRDefault="008C7124" w:rsidP="006E28E9">
            <w:pPr>
              <w:pStyle w:val="FootnoteText"/>
              <w:spacing w:after="0"/>
              <w:ind w:left="0" w:firstLine="0"/>
              <w:rPr>
                <w:rStyle w:val="FootnoteReference"/>
                <w:vertAlign w:val="baseline"/>
                <w:rtl/>
              </w:rPr>
            </w:pPr>
          </w:p>
        </w:tc>
        <w:tc>
          <w:tcPr>
            <w:tcW w:w="3544"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Style w:val="FootnoteReference"/>
                <w:vertAlign w:val="baseline"/>
                <w:rtl/>
              </w:rPr>
              <w:t>لا طريق أمام الوطن سوى هذين الاثنين</w:t>
            </w:r>
            <w:r>
              <w:rPr>
                <w:rFonts w:hint="cs"/>
                <w:rtl/>
              </w:rPr>
              <w:br/>
            </w:r>
          </w:p>
        </w:tc>
      </w:tr>
      <w:tr w:rsidR="008C7124" w:rsidTr="006E28E9">
        <w:tc>
          <w:tcPr>
            <w:tcW w:w="3827" w:type="dxa"/>
          </w:tcPr>
          <w:p w:rsidR="008C7124" w:rsidRPr="006E28E9" w:rsidRDefault="008C7124" w:rsidP="006E28E9">
            <w:pPr>
              <w:pStyle w:val="FootnoteText"/>
              <w:spacing w:after="0"/>
              <w:ind w:left="0" w:firstLine="0"/>
              <w:rPr>
                <w:rStyle w:val="FootnoteReference"/>
                <w:vertAlign w:val="baseline"/>
                <w:rtl/>
              </w:rPr>
            </w:pPr>
            <w:r w:rsidRPr="006E28E9">
              <w:rPr>
                <w:rStyle w:val="FootnoteReference"/>
                <w:vertAlign w:val="baseline"/>
                <w:rtl/>
              </w:rPr>
              <w:t>لقد أصبحت إيران قديمة من رأسها إلى أخمص قدميها</w:t>
            </w:r>
          </w:p>
        </w:tc>
        <w:tc>
          <w:tcPr>
            <w:tcW w:w="284" w:type="dxa"/>
          </w:tcPr>
          <w:p w:rsidR="008C7124" w:rsidRDefault="008C7124" w:rsidP="006E28E9">
            <w:pPr>
              <w:pStyle w:val="FootnoteText"/>
              <w:spacing w:after="0"/>
              <w:ind w:left="0" w:firstLine="0"/>
              <w:rPr>
                <w:rStyle w:val="FootnoteReference"/>
                <w:vertAlign w:val="baseline"/>
                <w:rtl/>
              </w:rPr>
            </w:pPr>
          </w:p>
        </w:tc>
        <w:tc>
          <w:tcPr>
            <w:tcW w:w="3544"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Style w:val="FootnoteReference"/>
                <w:vertAlign w:val="baseline"/>
                <w:rtl/>
              </w:rPr>
              <w:t>لا دواء لها سوى التجدد</w:t>
            </w:r>
            <w:r>
              <w:rPr>
                <w:rFonts w:hint="cs"/>
                <w:rtl/>
              </w:rPr>
              <w:br/>
            </w:r>
          </w:p>
        </w:tc>
      </w:tr>
    </w:tbl>
    <w:p w:rsidR="008C7124" w:rsidRPr="006E28E9" w:rsidRDefault="008C7124" w:rsidP="006E28E9">
      <w:pPr>
        <w:pStyle w:val="FootnoteText"/>
        <w:ind w:firstLine="0"/>
        <w:rPr>
          <w:rStyle w:val="FootnoteReference"/>
          <w:vertAlign w:val="baseline"/>
          <w:rtl/>
        </w:rPr>
      </w:pPr>
      <w:r w:rsidRPr="006E28E9">
        <w:rPr>
          <w:rStyle w:val="FootnoteReference"/>
          <w:vertAlign w:val="baseline"/>
          <w:rtl/>
        </w:rPr>
        <w:t>تدل أسماء الصحف والمجلات الأسبوعية في هذه المرحلة الزمنية على اهتمام أبناء ذلك العصر بالتجد</w:t>
      </w:r>
      <w:r w:rsidRPr="006E28E9">
        <w:rPr>
          <w:rFonts w:hint="cs"/>
          <w:rtl/>
        </w:rPr>
        <w:t>ُّ</w:t>
      </w:r>
      <w:r w:rsidRPr="006E28E9">
        <w:rPr>
          <w:rStyle w:val="FootnoteReference"/>
          <w:vertAlign w:val="baseline"/>
          <w:rtl/>
        </w:rPr>
        <w:t xml:space="preserve">د والتحديث والعصرنة. على سبيل المثال يمكننا أن نشير إلى المجلات والصحف الآتية: </w:t>
      </w:r>
      <w:r w:rsidRPr="008C7124">
        <w:rPr>
          <w:rStyle w:val="Char9"/>
          <w:sz w:val="20"/>
          <w:szCs w:val="20"/>
          <w:rtl/>
        </w:rPr>
        <w:t>صح</w:t>
      </w:r>
      <w:r>
        <w:rPr>
          <w:rStyle w:val="Char9"/>
          <w:sz w:val="20"/>
          <w:szCs w:val="20"/>
          <w:rtl/>
        </w:rPr>
        <w:t>ی</w:t>
      </w:r>
      <w:r w:rsidRPr="008C7124">
        <w:rPr>
          <w:rStyle w:val="Char9"/>
          <w:sz w:val="20"/>
          <w:szCs w:val="20"/>
          <w:rtl/>
        </w:rPr>
        <w:t>ف</w:t>
      </w:r>
      <w:r>
        <w:rPr>
          <w:rStyle w:val="Char9"/>
          <w:sz w:val="20"/>
          <w:szCs w:val="20"/>
          <w:rtl/>
        </w:rPr>
        <w:t>ۀ</w:t>
      </w:r>
      <w:r w:rsidRPr="008C7124">
        <w:rPr>
          <w:rStyle w:val="Char9"/>
          <w:sz w:val="20"/>
          <w:szCs w:val="20"/>
          <w:rtl/>
        </w:rPr>
        <w:t xml:space="preserve"> تجدد إ</w:t>
      </w:r>
      <w:r>
        <w:rPr>
          <w:rStyle w:val="Char9"/>
          <w:sz w:val="20"/>
          <w:szCs w:val="20"/>
          <w:rtl/>
        </w:rPr>
        <w:t>ی</w:t>
      </w:r>
      <w:r w:rsidRPr="008C7124">
        <w:rPr>
          <w:rStyle w:val="Char9"/>
          <w:sz w:val="20"/>
          <w:szCs w:val="20"/>
          <w:rtl/>
        </w:rPr>
        <w:t>ران</w:t>
      </w:r>
      <w:r w:rsidRPr="006E28E9">
        <w:rPr>
          <w:rStyle w:val="FootnoteReference"/>
          <w:vertAlign w:val="baseline"/>
          <w:rtl/>
        </w:rPr>
        <w:t xml:space="preserve"> التي بدأت بالصدور بشكل يومي منذ عام 1310 هـ.ش</w:t>
      </w:r>
      <w:r w:rsidRPr="006E28E9">
        <w:rPr>
          <w:rFonts w:hint="cs"/>
          <w:rtl/>
        </w:rPr>
        <w:t xml:space="preserve"> (1931م)</w:t>
      </w:r>
      <w:r w:rsidRPr="006E28E9">
        <w:rPr>
          <w:rStyle w:val="FootnoteReference"/>
          <w:vertAlign w:val="baseline"/>
          <w:rtl/>
        </w:rPr>
        <w:t xml:space="preserve"> فما بعد</w:t>
      </w:r>
      <w:r w:rsidRPr="006E28E9">
        <w:rPr>
          <w:rFonts w:hint="cs"/>
          <w:rtl/>
        </w:rPr>
        <w:t>.</w:t>
      </w:r>
      <w:r w:rsidRPr="006E28E9">
        <w:rPr>
          <w:rStyle w:val="FootnoteReference"/>
          <w:vertAlign w:val="baseline"/>
          <w:rtl/>
        </w:rPr>
        <w:t xml:space="preserve"> (انظر: </w:t>
      </w:r>
      <w:r w:rsidRPr="008C7124">
        <w:rPr>
          <w:rStyle w:val="Char9"/>
          <w:sz w:val="20"/>
          <w:szCs w:val="20"/>
          <w:rtl/>
        </w:rPr>
        <w:t>تار</w:t>
      </w:r>
      <w:r>
        <w:rPr>
          <w:rStyle w:val="Char9"/>
          <w:sz w:val="20"/>
          <w:szCs w:val="20"/>
          <w:rtl/>
        </w:rPr>
        <w:t>ی</w:t>
      </w:r>
      <w:r w:rsidRPr="008C7124">
        <w:rPr>
          <w:rStyle w:val="Char9"/>
          <w:sz w:val="20"/>
          <w:szCs w:val="20"/>
          <w:rtl/>
        </w:rPr>
        <w:t>خ جرا</w:t>
      </w:r>
      <w:r>
        <w:rPr>
          <w:rStyle w:val="Char9"/>
          <w:sz w:val="20"/>
          <w:szCs w:val="20"/>
          <w:rtl/>
        </w:rPr>
        <w:t>ی</w:t>
      </w:r>
      <w:r w:rsidRPr="008C7124">
        <w:rPr>
          <w:rStyle w:val="Char9"/>
          <w:sz w:val="20"/>
          <w:szCs w:val="20"/>
          <w:rtl/>
        </w:rPr>
        <w:t>د و مجلات</w:t>
      </w:r>
      <w:r w:rsidRPr="006E28E9">
        <w:rPr>
          <w:rStyle w:val="FootnoteReference"/>
          <w:vertAlign w:val="baseline"/>
          <w:rtl/>
        </w:rPr>
        <w:t xml:space="preserve"> [تاريخ الصحف والمجلات]، ج 2، ص 109)</w:t>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rFonts w:hint="cs"/>
          <w:vertAlign w:val="baseline"/>
          <w:rtl/>
        </w:rPr>
        <w:t>و</w:t>
      </w:r>
      <w:r w:rsidRPr="006E28E9">
        <w:rPr>
          <w:rStyle w:val="FootnoteReference"/>
          <w:vertAlign w:val="baseline"/>
          <w:rtl/>
        </w:rPr>
        <w:t xml:space="preserve">عدد من المجلات والنشرات الشهرية </w:t>
      </w:r>
      <w:r w:rsidRPr="006E28E9">
        <w:rPr>
          <w:rFonts w:hint="cs"/>
          <w:rtl/>
        </w:rPr>
        <w:t xml:space="preserve">التي تحمل عناوين </w:t>
      </w:r>
      <w:r w:rsidRPr="006E28E9">
        <w:rPr>
          <w:rStyle w:val="FootnoteReference"/>
          <w:rFonts w:hint="cs"/>
          <w:vertAlign w:val="baseline"/>
          <w:rtl/>
        </w:rPr>
        <w:t>م</w:t>
      </w:r>
      <w:r w:rsidRPr="006E28E9">
        <w:rPr>
          <w:rFonts w:hint="cs"/>
          <w:rtl/>
        </w:rPr>
        <w:t>ثل</w:t>
      </w:r>
      <w:r w:rsidRPr="006E28E9">
        <w:rPr>
          <w:rStyle w:val="FootnoteReference"/>
          <w:vertAlign w:val="baseline"/>
          <w:rtl/>
        </w:rPr>
        <w:t xml:space="preserve"> «ترقى» [التطور] أو «ترقى ايران» [تطور إيران] (2/124 - 127)، وأيضاً «تكامل» [التكامل]</w:t>
      </w:r>
      <w:r w:rsidRPr="006E28E9">
        <w:rPr>
          <w:rFonts w:hint="cs"/>
          <w:rtl/>
        </w:rPr>
        <w:t xml:space="preserve">، </w:t>
      </w:r>
      <w:r w:rsidRPr="006E28E9">
        <w:rPr>
          <w:rStyle w:val="FootnoteReference"/>
          <w:vertAlign w:val="baseline"/>
          <w:rtl/>
        </w:rPr>
        <w:t>«تمدن» [الحضارة] (</w:t>
      </w:r>
      <w:r w:rsidRPr="006E28E9">
        <w:rPr>
          <w:rStyle w:val="FootnoteReference"/>
          <w:b/>
          <w:bCs/>
          <w:vertAlign w:val="baseline"/>
          <w:rtl/>
        </w:rPr>
        <w:t>المصدر نفسه</w:t>
      </w:r>
      <w:r w:rsidRPr="006E28E9">
        <w:rPr>
          <w:rStyle w:val="FootnoteReference"/>
          <w:vertAlign w:val="baseline"/>
          <w:rtl/>
        </w:rPr>
        <w:t xml:space="preserve">، 134 - 140)، وانظروا أيضًا إلى </w:t>
      </w:r>
      <w:r w:rsidRPr="006E28E9">
        <w:rPr>
          <w:rStyle w:val="FootnoteReference"/>
          <w:rFonts w:hint="cs"/>
          <w:vertAlign w:val="baseline"/>
          <w:rtl/>
        </w:rPr>
        <w:t>ا</w:t>
      </w:r>
      <w:r w:rsidRPr="006E28E9">
        <w:rPr>
          <w:rFonts w:hint="cs"/>
          <w:rtl/>
        </w:rPr>
        <w:t>لصحف</w:t>
      </w:r>
      <w:r w:rsidRPr="006E28E9">
        <w:rPr>
          <w:rStyle w:val="FootnoteReference"/>
          <w:vertAlign w:val="baseline"/>
          <w:rtl/>
        </w:rPr>
        <w:t xml:space="preserve"> والمجلات التي تبتدئ بكلمة «العصر» مثل: عصر الحرية، عصر الثورة، عصر الحضارة، عصر البهلوي، العصر الجديد، عصر الديمقراطية، العصر الحديث، وعصر النهضة (</w:t>
      </w:r>
      <w:r w:rsidRPr="006E28E9">
        <w:rPr>
          <w:rStyle w:val="FootnoteReference"/>
          <w:b/>
          <w:bCs/>
          <w:vertAlign w:val="baseline"/>
          <w:rtl/>
        </w:rPr>
        <w:t>المصدر نفسه</w:t>
      </w:r>
      <w:r w:rsidRPr="006E28E9">
        <w:rPr>
          <w:rStyle w:val="FootnoteReference"/>
          <w:vertAlign w:val="baseline"/>
          <w:rtl/>
        </w:rPr>
        <w:t>، ج 4، ص 36). أو التي تبتدئ بكلمة «عهد»: عهد الحرية، عهد التقدم، عهد التجدد، العهد الجديد (</w:t>
      </w:r>
      <w:r w:rsidRPr="006E28E9">
        <w:rPr>
          <w:rStyle w:val="FootnoteReference"/>
          <w:b/>
          <w:bCs/>
          <w:vertAlign w:val="baseline"/>
          <w:rtl/>
        </w:rPr>
        <w:t>المصدر نفسه</w:t>
      </w:r>
      <w:r w:rsidRPr="006E28E9">
        <w:rPr>
          <w:rStyle w:val="FootnoteReference"/>
          <w:vertAlign w:val="baseline"/>
          <w:rtl/>
        </w:rPr>
        <w:t>، ص 58) وأيضاً عناوين مثل «ايران امروز» [إيران اليوم]، عن محمد حجازي</w:t>
      </w:r>
      <w:r w:rsidRPr="006E28E9">
        <w:rPr>
          <w:rFonts w:hint="cs"/>
          <w:rtl/>
        </w:rPr>
        <w:t>.</w:t>
      </w:r>
    </w:p>
  </w:footnote>
  <w:footnote w:id="7">
    <w:p w:rsidR="008C7124"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6E28E9">
        <w:rPr>
          <w:rtl/>
        </w:rPr>
        <w:t>في النشيد المدرسي الذي تم إقراره في ربيع سنة 1310 هـ.ش</w:t>
      </w:r>
      <w:r w:rsidRPr="006E28E9">
        <w:rPr>
          <w:rFonts w:hint="cs"/>
          <w:rtl/>
        </w:rPr>
        <w:t xml:space="preserve"> (1931م)</w:t>
      </w:r>
      <w:r w:rsidRPr="006E28E9">
        <w:rPr>
          <w:rtl/>
        </w:rPr>
        <w:t xml:space="preserve"> لينشده طلاب المدارس الابتدائية (</w:t>
      </w:r>
      <w:r w:rsidRPr="008C7124">
        <w:rPr>
          <w:rStyle w:val="Char9"/>
          <w:sz w:val="20"/>
          <w:szCs w:val="20"/>
          <w:rtl/>
        </w:rPr>
        <w:t>د</w:t>
      </w:r>
      <w:r>
        <w:rPr>
          <w:rStyle w:val="Char9"/>
          <w:sz w:val="20"/>
          <w:szCs w:val="20"/>
          <w:rtl/>
        </w:rPr>
        <w:t>ی</w:t>
      </w:r>
      <w:r w:rsidRPr="008C7124">
        <w:rPr>
          <w:rStyle w:val="Char9"/>
          <w:sz w:val="20"/>
          <w:szCs w:val="20"/>
          <w:rtl/>
        </w:rPr>
        <w:t>وان مل</w:t>
      </w:r>
      <w:r>
        <w:rPr>
          <w:rStyle w:val="Char9"/>
          <w:sz w:val="20"/>
          <w:szCs w:val="20"/>
          <w:rtl/>
        </w:rPr>
        <w:t>ک</w:t>
      </w:r>
      <w:r w:rsidRPr="008C7124">
        <w:rPr>
          <w:rStyle w:val="Char9"/>
          <w:sz w:val="20"/>
          <w:szCs w:val="20"/>
          <w:rtl/>
        </w:rPr>
        <w:t xml:space="preserve"> الشعراء</w:t>
      </w:r>
      <w:r w:rsidRPr="006E28E9">
        <w:rPr>
          <w:rtl/>
        </w:rPr>
        <w:t>، ج 1، س 549) تم تعريف الأطفال الإيرانيين بالهوية الإيرانية على النحو التالي:</w:t>
      </w:r>
    </w:p>
    <w:tbl>
      <w:tblPr>
        <w:tblStyle w:val="TableGrid"/>
        <w:bidiVisual/>
        <w:tblW w:w="0" w:type="auto"/>
        <w:tblInd w:w="1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6"/>
        <w:gridCol w:w="2409"/>
      </w:tblGrid>
      <w:tr w:rsidR="008C7124" w:rsidTr="006E28E9">
        <w:tc>
          <w:tcPr>
            <w:tcW w:w="2693"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نحن كلنا أطفال إيران</w:t>
            </w:r>
            <w:r>
              <w:rPr>
                <w:rFonts w:hint="cs"/>
                <w:rtl/>
              </w:rPr>
              <w:br/>
            </w:r>
          </w:p>
        </w:tc>
        <w:tc>
          <w:tcPr>
            <w:tcW w:w="426" w:type="dxa"/>
          </w:tcPr>
          <w:p w:rsidR="008C7124" w:rsidRDefault="008C7124" w:rsidP="006E28E9">
            <w:pPr>
              <w:pStyle w:val="FootnoteText"/>
              <w:spacing w:after="0"/>
              <w:ind w:left="0" w:firstLine="0"/>
              <w:rPr>
                <w:rStyle w:val="FootnoteReference"/>
                <w:vertAlign w:val="baseline"/>
                <w:rtl/>
              </w:rPr>
            </w:pPr>
          </w:p>
        </w:tc>
        <w:tc>
          <w:tcPr>
            <w:tcW w:w="2409"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نحافظ على أمنا</w:t>
            </w:r>
            <w:r>
              <w:rPr>
                <w:rFonts w:hint="cs"/>
                <w:rtl/>
              </w:rPr>
              <w:br/>
            </w:r>
          </w:p>
        </w:tc>
      </w:tr>
      <w:tr w:rsidR="008C7124" w:rsidTr="006E28E9">
        <w:tc>
          <w:tcPr>
            <w:tcW w:w="2693"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كلنا من أحفاد كياقباد وجميم</w:t>
            </w:r>
            <w:r>
              <w:rPr>
                <w:rFonts w:hint="cs"/>
                <w:rtl/>
              </w:rPr>
              <w:br/>
            </w:r>
          </w:p>
        </w:tc>
        <w:tc>
          <w:tcPr>
            <w:tcW w:w="426" w:type="dxa"/>
          </w:tcPr>
          <w:p w:rsidR="008C7124" w:rsidRDefault="008C7124" w:rsidP="006E28E9">
            <w:pPr>
              <w:pStyle w:val="FootnoteText"/>
              <w:spacing w:after="0"/>
              <w:ind w:left="0" w:firstLine="0"/>
              <w:rPr>
                <w:rStyle w:val="FootnoteReference"/>
                <w:vertAlign w:val="baseline"/>
                <w:rtl/>
              </w:rPr>
            </w:pPr>
          </w:p>
        </w:tc>
        <w:tc>
          <w:tcPr>
            <w:tcW w:w="2409"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 xml:space="preserve">كلنا من جيل </w:t>
            </w:r>
            <w:r w:rsidRPr="006E28E9">
              <w:rPr>
                <w:rFonts w:hint="cs"/>
                <w:rtl/>
                <w:lang w:bidi="ar-SY"/>
              </w:rPr>
              <w:t>پ</w:t>
            </w:r>
            <w:r w:rsidRPr="006E28E9">
              <w:rPr>
                <w:rtl/>
              </w:rPr>
              <w:t>وردستان</w:t>
            </w:r>
            <w:r>
              <w:rPr>
                <w:rFonts w:hint="cs"/>
                <w:rtl/>
              </w:rPr>
              <w:br/>
            </w:r>
          </w:p>
        </w:tc>
      </w:tr>
      <w:tr w:rsidR="008C7124" w:rsidTr="006E28E9">
        <w:tc>
          <w:tcPr>
            <w:tcW w:w="2693" w:type="dxa"/>
          </w:tcPr>
          <w:p w:rsidR="008C7124" w:rsidRPr="006E28E9" w:rsidRDefault="008C7124" w:rsidP="006E28E9">
            <w:pPr>
              <w:pStyle w:val="FootnoteText"/>
              <w:spacing w:after="0"/>
              <w:ind w:left="0" w:firstLine="0"/>
              <w:rPr>
                <w:sz w:val="2"/>
                <w:szCs w:val="2"/>
                <w:rtl/>
              </w:rPr>
            </w:pPr>
            <w:r w:rsidRPr="006E28E9">
              <w:rPr>
                <w:rtl/>
              </w:rPr>
              <w:t>نحن أولاد كورش وحاخامنش</w:t>
            </w:r>
            <w:r>
              <w:rPr>
                <w:rFonts w:hint="cs"/>
                <w:rtl/>
              </w:rPr>
              <w:br/>
            </w:r>
          </w:p>
        </w:tc>
        <w:tc>
          <w:tcPr>
            <w:tcW w:w="426" w:type="dxa"/>
          </w:tcPr>
          <w:p w:rsidR="008C7124" w:rsidRDefault="008C7124" w:rsidP="006E28E9">
            <w:pPr>
              <w:pStyle w:val="FootnoteText"/>
              <w:spacing w:after="0"/>
              <w:ind w:left="0" w:firstLine="0"/>
              <w:rPr>
                <w:rStyle w:val="FootnoteReference"/>
                <w:vertAlign w:val="baseline"/>
                <w:rtl/>
              </w:rPr>
            </w:pPr>
          </w:p>
        </w:tc>
        <w:tc>
          <w:tcPr>
            <w:tcW w:w="2409" w:type="dxa"/>
          </w:tcPr>
          <w:p w:rsidR="008C7124" w:rsidRPr="006E28E9" w:rsidRDefault="008C7124" w:rsidP="006E28E9">
            <w:pPr>
              <w:pStyle w:val="FootnoteText"/>
              <w:spacing w:after="0"/>
              <w:ind w:left="0" w:firstLine="0"/>
              <w:rPr>
                <w:sz w:val="2"/>
                <w:szCs w:val="2"/>
                <w:rtl/>
              </w:rPr>
            </w:pPr>
            <w:r w:rsidRPr="006E28E9">
              <w:rPr>
                <w:rtl/>
              </w:rPr>
              <w:t>أولاد قارن ونريمان</w:t>
            </w:r>
            <w:r>
              <w:rPr>
                <w:rFonts w:hint="cs"/>
                <w:rtl/>
              </w:rPr>
              <w:br/>
            </w:r>
          </w:p>
        </w:tc>
      </w:tr>
      <w:tr w:rsidR="008C7124" w:rsidTr="006E28E9">
        <w:tc>
          <w:tcPr>
            <w:tcW w:w="2693" w:type="dxa"/>
          </w:tcPr>
          <w:p w:rsidR="008C7124" w:rsidRPr="006E28E9" w:rsidRDefault="008C7124" w:rsidP="006E28E9">
            <w:pPr>
              <w:pStyle w:val="FootnoteText"/>
              <w:spacing w:after="0"/>
              <w:ind w:left="0" w:firstLine="0"/>
              <w:rPr>
                <w:sz w:val="2"/>
                <w:szCs w:val="2"/>
                <w:rtl/>
              </w:rPr>
            </w:pPr>
            <w:r w:rsidRPr="006E28E9">
              <w:rPr>
                <w:rtl/>
              </w:rPr>
              <w:t>أولاد مهرداد وفرهاد</w:t>
            </w:r>
            <w:r>
              <w:rPr>
                <w:rFonts w:hint="cs"/>
                <w:rtl/>
              </w:rPr>
              <w:br/>
            </w:r>
          </w:p>
        </w:tc>
        <w:tc>
          <w:tcPr>
            <w:tcW w:w="426" w:type="dxa"/>
          </w:tcPr>
          <w:p w:rsidR="008C7124" w:rsidRDefault="008C7124" w:rsidP="006E28E9">
            <w:pPr>
              <w:pStyle w:val="FootnoteText"/>
              <w:spacing w:after="0"/>
              <w:ind w:left="0" w:firstLine="0"/>
              <w:rPr>
                <w:rStyle w:val="FootnoteReference"/>
                <w:vertAlign w:val="baseline"/>
                <w:rtl/>
              </w:rPr>
            </w:pPr>
          </w:p>
        </w:tc>
        <w:tc>
          <w:tcPr>
            <w:tcW w:w="2409" w:type="dxa"/>
          </w:tcPr>
          <w:p w:rsidR="008C7124" w:rsidRPr="006E28E9" w:rsidRDefault="008C7124" w:rsidP="006E28E9">
            <w:pPr>
              <w:pStyle w:val="FootnoteText"/>
              <w:spacing w:after="0"/>
              <w:ind w:left="0" w:firstLine="0"/>
              <w:rPr>
                <w:sz w:val="2"/>
                <w:szCs w:val="2"/>
                <w:rtl/>
              </w:rPr>
            </w:pPr>
            <w:r w:rsidRPr="006E28E9">
              <w:rPr>
                <w:rtl/>
              </w:rPr>
              <w:t>من عرق اردشير وساسان</w:t>
            </w:r>
            <w:r>
              <w:rPr>
                <w:rFonts w:hint="cs"/>
                <w:rtl/>
              </w:rPr>
              <w:br/>
            </w:r>
          </w:p>
        </w:tc>
      </w:tr>
      <w:tr w:rsidR="008C7124" w:rsidTr="006E28E9">
        <w:tc>
          <w:tcPr>
            <w:tcW w:w="2693" w:type="dxa"/>
          </w:tcPr>
          <w:p w:rsidR="008C7124" w:rsidRPr="006E28E9" w:rsidRDefault="008C7124" w:rsidP="006E28E9">
            <w:pPr>
              <w:pStyle w:val="FootnoteText"/>
              <w:spacing w:after="0"/>
              <w:ind w:left="0" w:firstLine="0"/>
              <w:rPr>
                <w:sz w:val="2"/>
                <w:szCs w:val="2"/>
                <w:rtl/>
              </w:rPr>
            </w:pPr>
            <w:r w:rsidRPr="006E28E9">
              <w:rPr>
                <w:rtl/>
              </w:rPr>
              <w:t>م</w:t>
            </w:r>
            <w:r w:rsidRPr="006E28E9">
              <w:rPr>
                <w:rFonts w:hint="cs"/>
                <w:rtl/>
              </w:rPr>
              <w:t>ُ</w:t>
            </w:r>
            <w:r w:rsidRPr="006E28E9">
              <w:rPr>
                <w:rtl/>
              </w:rPr>
              <w:t>ل</w:t>
            </w:r>
            <w:r w:rsidRPr="006E28E9">
              <w:rPr>
                <w:rFonts w:hint="cs"/>
                <w:rtl/>
              </w:rPr>
              <w:t>ْ</w:t>
            </w:r>
            <w:r w:rsidRPr="006E28E9">
              <w:rPr>
                <w:rtl/>
              </w:rPr>
              <w:t>ك إيران بستان زهور</w:t>
            </w:r>
            <w:r>
              <w:rPr>
                <w:rFonts w:hint="cs"/>
                <w:rtl/>
              </w:rPr>
              <w:br/>
            </w:r>
          </w:p>
        </w:tc>
        <w:tc>
          <w:tcPr>
            <w:tcW w:w="426" w:type="dxa"/>
          </w:tcPr>
          <w:p w:rsidR="008C7124" w:rsidRDefault="008C7124" w:rsidP="006E28E9">
            <w:pPr>
              <w:pStyle w:val="FootnoteText"/>
              <w:spacing w:after="0"/>
              <w:ind w:left="0" w:firstLine="0"/>
              <w:rPr>
                <w:rStyle w:val="FootnoteReference"/>
                <w:vertAlign w:val="baseline"/>
                <w:rtl/>
              </w:rPr>
            </w:pPr>
          </w:p>
        </w:tc>
        <w:tc>
          <w:tcPr>
            <w:tcW w:w="2409" w:type="dxa"/>
          </w:tcPr>
          <w:p w:rsidR="008C7124" w:rsidRPr="006E28E9" w:rsidRDefault="008C7124" w:rsidP="006E28E9">
            <w:pPr>
              <w:pStyle w:val="FootnoteText"/>
              <w:spacing w:after="0"/>
              <w:ind w:left="0" w:firstLine="0"/>
              <w:rPr>
                <w:sz w:val="2"/>
                <w:szCs w:val="2"/>
                <w:rtl/>
              </w:rPr>
            </w:pPr>
            <w:r w:rsidRPr="006E28E9">
              <w:rPr>
                <w:rFonts w:hint="cs"/>
                <w:rtl/>
              </w:rPr>
              <w:t>و</w:t>
            </w:r>
            <w:r w:rsidRPr="006E28E9">
              <w:rPr>
                <w:rtl/>
              </w:rPr>
              <w:t>نحن ورود</w:t>
            </w:r>
            <w:r w:rsidRPr="006E28E9">
              <w:rPr>
                <w:rFonts w:hint="cs"/>
                <w:rtl/>
              </w:rPr>
              <w:t>ه</w:t>
            </w:r>
            <w:r w:rsidRPr="006E28E9">
              <w:rPr>
                <w:rtl/>
              </w:rPr>
              <w:t xml:space="preserve"> </w:t>
            </w:r>
            <w:r w:rsidRPr="006E28E9">
              <w:rPr>
                <w:rFonts w:hint="cs"/>
                <w:rtl/>
              </w:rPr>
              <w:t>ال</w:t>
            </w:r>
            <w:r w:rsidRPr="006E28E9">
              <w:rPr>
                <w:rtl/>
              </w:rPr>
              <w:t>حمراء</w:t>
            </w:r>
            <w:r>
              <w:rPr>
                <w:rFonts w:hint="cs"/>
                <w:rtl/>
              </w:rPr>
              <w:br/>
            </w:r>
          </w:p>
        </w:tc>
      </w:tr>
    </w:tbl>
    <w:p w:rsidR="008C7124" w:rsidRDefault="008C7124" w:rsidP="0092648A">
      <w:pPr>
        <w:pStyle w:val="FootnoteText"/>
        <w:rPr>
          <w:rtl/>
        </w:rPr>
      </w:pPr>
      <w:r w:rsidRPr="006E28E9">
        <w:rPr>
          <w:rFonts w:hint="cs"/>
          <w:rtl/>
        </w:rPr>
        <w:tab/>
      </w:r>
      <w:r w:rsidRPr="006E28E9">
        <w:rPr>
          <w:rtl/>
        </w:rPr>
        <w:t>وجاء حول الشاعر بهار (في كتاب</w:t>
      </w:r>
      <w:r w:rsidRPr="006E28E9">
        <w:rPr>
          <w:rFonts w:hint="cs"/>
          <w:rtl/>
        </w:rPr>
        <w:t xml:space="preserve"> </w:t>
      </w:r>
      <w:r w:rsidRPr="006E28E9">
        <w:rPr>
          <w:rStyle w:val="Char9"/>
          <w:rFonts w:hint="cs"/>
          <w:sz w:val="20"/>
          <w:szCs w:val="20"/>
          <w:rtl/>
        </w:rPr>
        <w:t>باستان‌گرا</w:t>
      </w:r>
      <w:r>
        <w:rPr>
          <w:rStyle w:val="Char9"/>
          <w:rFonts w:hint="cs"/>
          <w:sz w:val="20"/>
          <w:szCs w:val="20"/>
          <w:rtl/>
        </w:rPr>
        <w:t>ی</w:t>
      </w:r>
      <w:r w:rsidRPr="006E28E9">
        <w:rPr>
          <w:rStyle w:val="Char9"/>
          <w:rFonts w:hint="cs"/>
          <w:sz w:val="20"/>
          <w:szCs w:val="20"/>
          <w:rtl/>
        </w:rPr>
        <w:t>ى در تار</w:t>
      </w:r>
      <w:r>
        <w:rPr>
          <w:rStyle w:val="Char9"/>
          <w:rFonts w:hint="cs"/>
          <w:sz w:val="20"/>
          <w:szCs w:val="20"/>
          <w:rtl/>
        </w:rPr>
        <w:t>ی</w:t>
      </w:r>
      <w:r w:rsidRPr="006E28E9">
        <w:rPr>
          <w:rStyle w:val="Char9"/>
          <w:rFonts w:hint="cs"/>
          <w:sz w:val="20"/>
          <w:szCs w:val="20"/>
          <w:rtl/>
        </w:rPr>
        <w:t>خ معاصر ا</w:t>
      </w:r>
      <w:r>
        <w:rPr>
          <w:rStyle w:val="Char9"/>
          <w:rFonts w:hint="cs"/>
          <w:sz w:val="20"/>
          <w:szCs w:val="20"/>
          <w:rtl/>
        </w:rPr>
        <w:t>ی</w:t>
      </w:r>
      <w:r w:rsidRPr="006E28E9">
        <w:rPr>
          <w:rStyle w:val="Char9"/>
          <w:rFonts w:hint="cs"/>
          <w:sz w:val="20"/>
          <w:szCs w:val="20"/>
          <w:rtl/>
        </w:rPr>
        <w:t>ران</w:t>
      </w:r>
      <w:r w:rsidRPr="006E28E9">
        <w:rPr>
          <w:rtl/>
        </w:rPr>
        <w:t xml:space="preserve"> </w:t>
      </w:r>
      <w:r w:rsidRPr="006E28E9">
        <w:rPr>
          <w:rFonts w:hint="cs"/>
          <w:rtl/>
        </w:rPr>
        <w:t>[أي: نزعة</w:t>
      </w:r>
      <w:r w:rsidRPr="006E28E9">
        <w:rPr>
          <w:rtl/>
        </w:rPr>
        <w:t xml:space="preserve"> </w:t>
      </w:r>
      <w:r w:rsidRPr="006E28E9">
        <w:rPr>
          <w:rFonts w:hint="cs"/>
          <w:rtl/>
        </w:rPr>
        <w:t xml:space="preserve">الاهتمام بالتاريخ القديم، </w:t>
      </w:r>
      <w:r w:rsidRPr="006E28E9">
        <w:rPr>
          <w:rtl/>
        </w:rPr>
        <w:t>في تاريخ إيران المعاصر</w:t>
      </w:r>
      <w:r w:rsidRPr="006E28E9">
        <w:rPr>
          <w:rFonts w:hint="cs"/>
          <w:rtl/>
        </w:rPr>
        <w:t>]</w:t>
      </w:r>
      <w:r w:rsidRPr="006E28E9">
        <w:rPr>
          <w:rtl/>
        </w:rPr>
        <w:t xml:space="preserve">، ص 167): يمكننا أن نعتبر الشاعر بهار أحد المنظرين </w:t>
      </w:r>
      <w:r w:rsidRPr="006E28E9">
        <w:rPr>
          <w:rFonts w:hint="cs"/>
          <w:rtl/>
        </w:rPr>
        <w:t xml:space="preserve">لنزعة </w:t>
      </w:r>
      <w:r w:rsidRPr="006E28E9">
        <w:rPr>
          <w:rtl/>
        </w:rPr>
        <w:t>إحياء التراث القومي الإيراني القديم لدى رضا شاه</w:t>
      </w:r>
      <w:r w:rsidRPr="006E28E9">
        <w:rPr>
          <w:rFonts w:hint="cs"/>
          <w:rtl/>
        </w:rPr>
        <w:t>،</w:t>
      </w:r>
      <w:r w:rsidRPr="006E28E9">
        <w:rPr>
          <w:rtl/>
        </w:rPr>
        <w:t xml:space="preserve"> </w:t>
      </w:r>
      <w:r w:rsidRPr="006E28E9">
        <w:rPr>
          <w:rFonts w:hint="cs"/>
          <w:rtl/>
        </w:rPr>
        <w:t>وأحد الموصين ب</w:t>
      </w:r>
      <w:r w:rsidRPr="006E28E9">
        <w:rPr>
          <w:rtl/>
        </w:rPr>
        <w:t>الإجراءات التي كان يقوم بها رضا شاه في هذا المجال، حيث كان يوصي في أشعاره على الدوام بإحياء ثقافة إيران القديم</w:t>
      </w:r>
      <w:r w:rsidRPr="006E28E9">
        <w:rPr>
          <w:rFonts w:hint="cs"/>
          <w:rtl/>
        </w:rPr>
        <w:t>ة</w:t>
      </w:r>
      <w:r w:rsidRPr="006E28E9">
        <w:rPr>
          <w:rtl/>
        </w:rPr>
        <w:t xml:space="preserve"> وآداب</w:t>
      </w:r>
      <w:r w:rsidRPr="006E28E9">
        <w:rPr>
          <w:rFonts w:hint="cs"/>
          <w:rtl/>
        </w:rPr>
        <w:t>ها</w:t>
      </w:r>
      <w:r w:rsidRPr="006E28E9">
        <w:rPr>
          <w:rtl/>
        </w:rPr>
        <w:t xml:space="preserve"> وتاريخ</w:t>
      </w:r>
      <w:r w:rsidRPr="006E28E9">
        <w:rPr>
          <w:rFonts w:hint="cs"/>
          <w:rtl/>
        </w:rPr>
        <w:t>ها</w:t>
      </w:r>
      <w:r w:rsidRPr="006E28E9">
        <w:rPr>
          <w:rtl/>
        </w:rPr>
        <w:t xml:space="preserve"> قائلاً مثلاً: </w:t>
      </w:r>
    </w:p>
    <w:tbl>
      <w:tblPr>
        <w:tblStyle w:val="TableGrid"/>
        <w:bidiVisual/>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686"/>
      </w:tblGrid>
      <w:tr w:rsidR="008C7124" w:rsidTr="006E28E9">
        <w:tc>
          <w:tcPr>
            <w:tcW w:w="3402"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م</w:t>
            </w:r>
            <w:r w:rsidRPr="006E28E9">
              <w:rPr>
                <w:rFonts w:hint="cs"/>
                <w:rtl/>
              </w:rPr>
              <w:t>َ</w:t>
            </w:r>
            <w:r w:rsidRPr="006E28E9">
              <w:rPr>
                <w:rtl/>
              </w:rPr>
              <w:t>ل</w:t>
            </w:r>
            <w:r w:rsidRPr="006E28E9">
              <w:rPr>
                <w:rFonts w:hint="cs"/>
                <w:rtl/>
              </w:rPr>
              <w:t>ِ</w:t>
            </w:r>
            <w:r w:rsidRPr="006E28E9">
              <w:rPr>
                <w:rtl/>
              </w:rPr>
              <w:t>ك</w:t>
            </w:r>
            <w:r w:rsidRPr="006E28E9">
              <w:rPr>
                <w:rFonts w:hint="cs"/>
                <w:rtl/>
              </w:rPr>
              <w:t>ُ</w:t>
            </w:r>
            <w:r w:rsidRPr="006E28E9">
              <w:rPr>
                <w:rtl/>
              </w:rPr>
              <w:t xml:space="preserve"> العالم بهلوي الشهير</w:t>
            </w:r>
            <w:r>
              <w:rPr>
                <w:rFonts w:hint="cs"/>
                <w:rtl/>
              </w:rPr>
              <w:br/>
            </w:r>
          </w:p>
        </w:tc>
        <w:tc>
          <w:tcPr>
            <w:tcW w:w="425" w:type="dxa"/>
          </w:tcPr>
          <w:p w:rsidR="008C7124" w:rsidRDefault="008C7124" w:rsidP="006E28E9">
            <w:pPr>
              <w:pStyle w:val="FootnoteText"/>
              <w:spacing w:after="0"/>
              <w:ind w:left="0" w:firstLine="0"/>
              <w:rPr>
                <w:rStyle w:val="FootnoteReference"/>
                <w:vertAlign w:val="baseline"/>
                <w:rtl/>
              </w:rPr>
            </w:pPr>
          </w:p>
        </w:tc>
        <w:tc>
          <w:tcPr>
            <w:tcW w:w="3686"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أنت من سلاطين العالم الذين سيخلد التاريخ ذكرهم</w:t>
            </w:r>
            <w:r>
              <w:rPr>
                <w:rFonts w:hint="cs"/>
                <w:rtl/>
              </w:rPr>
              <w:br/>
            </w:r>
          </w:p>
        </w:tc>
      </w:tr>
      <w:tr w:rsidR="008C7124" w:rsidTr="006E28E9">
        <w:tc>
          <w:tcPr>
            <w:tcW w:w="3402"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سعادتك ع</w:t>
            </w:r>
            <w:r w:rsidRPr="006E28E9">
              <w:rPr>
                <w:rFonts w:hint="cs"/>
                <w:rtl/>
              </w:rPr>
              <w:t>َ</w:t>
            </w:r>
            <w:r w:rsidRPr="006E28E9">
              <w:rPr>
                <w:rtl/>
              </w:rPr>
              <w:t>ل</w:t>
            </w:r>
            <w:r w:rsidRPr="006E28E9">
              <w:rPr>
                <w:rFonts w:hint="cs"/>
                <w:rtl/>
              </w:rPr>
              <w:t>َ</w:t>
            </w:r>
            <w:r w:rsidRPr="006E28E9">
              <w:rPr>
                <w:rtl/>
              </w:rPr>
              <w:t>م كاويان</w:t>
            </w:r>
            <w:r>
              <w:rPr>
                <w:rFonts w:hint="cs"/>
                <w:rtl/>
              </w:rPr>
              <w:br/>
            </w:r>
          </w:p>
        </w:tc>
        <w:tc>
          <w:tcPr>
            <w:tcW w:w="425" w:type="dxa"/>
          </w:tcPr>
          <w:p w:rsidR="008C7124" w:rsidRDefault="008C7124" w:rsidP="006E28E9">
            <w:pPr>
              <w:pStyle w:val="FootnoteText"/>
              <w:spacing w:after="0"/>
              <w:ind w:left="0" w:firstLine="0"/>
              <w:rPr>
                <w:rStyle w:val="FootnoteReference"/>
                <w:vertAlign w:val="baseline"/>
                <w:rtl/>
              </w:rPr>
            </w:pPr>
          </w:p>
        </w:tc>
        <w:tc>
          <w:tcPr>
            <w:tcW w:w="3686" w:type="dxa"/>
          </w:tcPr>
          <w:p w:rsidR="008C7124" w:rsidRPr="006E28E9" w:rsidRDefault="008C7124" w:rsidP="006E28E9">
            <w:pPr>
              <w:pStyle w:val="FootnoteText"/>
              <w:spacing w:after="0"/>
              <w:ind w:left="0" w:firstLine="0"/>
              <w:rPr>
                <w:rStyle w:val="FootnoteReference"/>
                <w:sz w:val="2"/>
                <w:szCs w:val="2"/>
                <w:vertAlign w:val="baseline"/>
                <w:rtl/>
              </w:rPr>
            </w:pPr>
            <w:r w:rsidRPr="006E28E9">
              <w:rPr>
                <w:rtl/>
              </w:rPr>
              <w:t xml:space="preserve">ملكك </w:t>
            </w:r>
            <w:r w:rsidRPr="006E28E9">
              <w:rPr>
                <w:rFonts w:hint="cs"/>
                <w:rtl/>
              </w:rPr>
              <w:t>مثل ملك ملوك إيران [القدامى]</w:t>
            </w:r>
            <w:r>
              <w:rPr>
                <w:rFonts w:hint="cs"/>
                <w:rtl/>
              </w:rPr>
              <w:br/>
            </w:r>
          </w:p>
        </w:tc>
      </w:tr>
      <w:tr w:rsidR="008C7124" w:rsidTr="006E28E9">
        <w:tc>
          <w:tcPr>
            <w:tcW w:w="3402" w:type="dxa"/>
          </w:tcPr>
          <w:p w:rsidR="008C7124" w:rsidRPr="006E28E9" w:rsidRDefault="008C7124" w:rsidP="006E28E9">
            <w:pPr>
              <w:pStyle w:val="FootnoteText"/>
              <w:spacing w:after="0"/>
              <w:ind w:left="0" w:firstLine="0"/>
              <w:rPr>
                <w:sz w:val="2"/>
                <w:szCs w:val="2"/>
                <w:rtl/>
              </w:rPr>
            </w:pPr>
            <w:r w:rsidRPr="006E28E9">
              <w:rPr>
                <w:rFonts w:hint="cs"/>
                <w:rtl/>
              </w:rPr>
              <w:t>لما سعيت نحو سعادة المُلْك</w:t>
            </w:r>
            <w:r>
              <w:rPr>
                <w:rFonts w:hint="cs"/>
                <w:rtl/>
              </w:rPr>
              <w:br/>
            </w:r>
          </w:p>
        </w:tc>
        <w:tc>
          <w:tcPr>
            <w:tcW w:w="425" w:type="dxa"/>
          </w:tcPr>
          <w:p w:rsidR="008C7124" w:rsidRDefault="008C7124" w:rsidP="006E28E9">
            <w:pPr>
              <w:pStyle w:val="FootnoteText"/>
              <w:spacing w:after="0"/>
              <w:ind w:left="0" w:firstLine="0"/>
              <w:rPr>
                <w:rStyle w:val="FootnoteReference"/>
                <w:vertAlign w:val="baseline"/>
                <w:rtl/>
              </w:rPr>
            </w:pPr>
          </w:p>
        </w:tc>
        <w:tc>
          <w:tcPr>
            <w:tcW w:w="3686" w:type="dxa"/>
          </w:tcPr>
          <w:p w:rsidR="008C7124" w:rsidRPr="006E28E9" w:rsidRDefault="008C7124" w:rsidP="006E28E9">
            <w:pPr>
              <w:pStyle w:val="FootnoteText"/>
              <w:spacing w:after="0"/>
              <w:ind w:left="0" w:firstLine="0"/>
              <w:rPr>
                <w:sz w:val="2"/>
                <w:szCs w:val="2"/>
                <w:rtl/>
              </w:rPr>
            </w:pPr>
            <w:r w:rsidRPr="006E28E9">
              <w:rPr>
                <w:rFonts w:hint="cs"/>
                <w:rtl/>
              </w:rPr>
              <w:t xml:space="preserve">كُنْتَ </w:t>
            </w:r>
            <w:r w:rsidRPr="006E28E9">
              <w:rPr>
                <w:rFonts w:hint="cs"/>
                <w:rtl/>
                <w:lang w:bidi="ar-SY"/>
              </w:rPr>
              <w:t>«كاوه» ثم أصبحت أيضًا «فريدون»</w:t>
            </w:r>
            <w:r>
              <w:rPr>
                <w:rFonts w:hint="cs"/>
                <w:rtl/>
              </w:rPr>
              <w:br/>
            </w:r>
          </w:p>
        </w:tc>
      </w:tr>
    </w:tbl>
    <w:p w:rsidR="008C7124" w:rsidRPr="006E28E9" w:rsidRDefault="008C7124" w:rsidP="006E28E9">
      <w:pPr>
        <w:pStyle w:val="FootnoteText"/>
        <w:ind w:firstLine="0"/>
        <w:rPr>
          <w:rtl/>
        </w:rPr>
      </w:pPr>
      <w:r w:rsidRPr="006E28E9">
        <w:rPr>
          <w:rFonts w:hint="cs"/>
          <w:rtl/>
        </w:rPr>
        <w:t>تمحورت</w:t>
      </w:r>
      <w:r w:rsidRPr="006E28E9">
        <w:rPr>
          <w:rtl/>
        </w:rPr>
        <w:t xml:space="preserve"> نظرة الشاعر بهار إلى التجدد حول ثلاثة مفاهيم تاريخية - جغرافية. إيران ما قبل الإسلام، إيران بعد الإسلام</w:t>
      </w:r>
      <w:r w:rsidRPr="006E28E9">
        <w:rPr>
          <w:rFonts w:hint="cs"/>
          <w:rtl/>
        </w:rPr>
        <w:t>،</w:t>
      </w:r>
      <w:r w:rsidRPr="006E28E9">
        <w:rPr>
          <w:rtl/>
        </w:rPr>
        <w:t xml:space="preserve"> والغرب. في ذلك الشعر، يسعى بهار، شأنه في ذلك شأن كثير من المثقفين العصريين الآخرين، إلى حذف «إيران بعد الإسلام» كي يوجد اقتران</w:t>
      </w:r>
      <w:r w:rsidRPr="006E28E9">
        <w:rPr>
          <w:rFonts w:hint="cs"/>
          <w:rtl/>
        </w:rPr>
        <w:t>ً</w:t>
      </w:r>
      <w:r w:rsidRPr="006E28E9">
        <w:rPr>
          <w:rtl/>
        </w:rPr>
        <w:t xml:space="preserve">ا بين إيران ما قبل الإسلام والغرب. أي التجدد التاريخي القديم الذي يمكن أن نطلق عليه - على حد قول توكلي طرقي - التجدد القومي </w:t>
      </w:r>
      <w:r w:rsidRPr="006E28E9">
        <w:rPr>
          <w:rFonts w:hint="cs"/>
          <w:rtl/>
        </w:rPr>
        <w:t>الوطني</w:t>
      </w:r>
      <w:r w:rsidRPr="006E28E9">
        <w:rPr>
          <w:rtl/>
        </w:rPr>
        <w:t xml:space="preserve">. هذا </w:t>
      </w:r>
      <w:r w:rsidRPr="006E28E9">
        <w:rPr>
          <w:rFonts w:hint="cs"/>
          <w:rtl/>
        </w:rPr>
        <w:t>التجديد وإحياء تاريخ إيران القديم</w:t>
      </w:r>
      <w:r w:rsidRPr="006E28E9">
        <w:rPr>
          <w:rtl/>
        </w:rPr>
        <w:t xml:space="preserve"> تجد</w:t>
      </w:r>
      <w:r w:rsidRPr="006E28E9">
        <w:rPr>
          <w:rFonts w:hint="cs"/>
          <w:rtl/>
        </w:rPr>
        <w:t>ي</w:t>
      </w:r>
      <w:r w:rsidRPr="006E28E9">
        <w:rPr>
          <w:rtl/>
        </w:rPr>
        <w:t>د عقيم بالتأكيد، لأن إيران العهد القديم التي تمتزج بكيومرث وجمشيد اللذين سيحلان محل محمد وعلي، هي إيران ممزوجة بآلاف أنواع الفساد والظلم والجور (لنتذكر ما قاله شاملو حول الشاهنام</w:t>
      </w:r>
      <w:r w:rsidRPr="006E28E9">
        <w:rPr>
          <w:rFonts w:hint="cs"/>
          <w:rtl/>
        </w:rPr>
        <w:t>ة</w:t>
      </w:r>
      <w:r w:rsidRPr="006E28E9">
        <w:rPr>
          <w:rtl/>
        </w:rPr>
        <w:t xml:space="preserve">). ولهذا السبب فشل مثقفونا العصريون الذين استخرجوا </w:t>
      </w:r>
      <w:r w:rsidRPr="006E28E9">
        <w:rPr>
          <w:rFonts w:hint="cs"/>
          <w:rtl/>
        </w:rPr>
        <w:t xml:space="preserve">ذلك </w:t>
      </w:r>
      <w:r w:rsidRPr="006E28E9">
        <w:rPr>
          <w:rFonts w:hint="cs"/>
          <w:rtl/>
          <w:lang w:bidi="ar-SY"/>
        </w:rPr>
        <w:t>«</w:t>
      </w:r>
      <w:r w:rsidRPr="006E28E9">
        <w:rPr>
          <w:rFonts w:hint="cs"/>
          <w:rtl/>
        </w:rPr>
        <w:t>التجديد وإحياء تاريخ إيران القديم</w:t>
      </w:r>
      <w:r w:rsidRPr="006E28E9">
        <w:rPr>
          <w:rFonts w:hint="cs"/>
          <w:rtl/>
          <w:lang w:bidi="ar-SY"/>
        </w:rPr>
        <w:t>»</w:t>
      </w:r>
      <w:r w:rsidRPr="006E28E9">
        <w:rPr>
          <w:rFonts w:hint="cs"/>
          <w:rtl/>
        </w:rPr>
        <w:t xml:space="preserve"> </w:t>
      </w:r>
      <w:r w:rsidRPr="006E28E9">
        <w:rPr>
          <w:rtl/>
        </w:rPr>
        <w:t>من بطن مفهومَي إيران القديمة والغرب</w:t>
      </w:r>
      <w:r w:rsidRPr="006E28E9">
        <w:rPr>
          <w:rFonts w:hint="cs"/>
          <w:rtl/>
        </w:rPr>
        <w:t>،</w:t>
      </w:r>
      <w:r w:rsidRPr="006E28E9">
        <w:rPr>
          <w:rtl/>
        </w:rPr>
        <w:t xml:space="preserve"> </w:t>
      </w:r>
      <w:r w:rsidRPr="006E28E9">
        <w:rPr>
          <w:rFonts w:hint="cs"/>
          <w:rtl/>
        </w:rPr>
        <w:t>و</w:t>
      </w:r>
      <w:r w:rsidRPr="006E28E9">
        <w:rPr>
          <w:rtl/>
        </w:rPr>
        <w:t xml:space="preserve">لم يستطيعوا </w:t>
      </w:r>
      <w:r w:rsidRPr="006E28E9">
        <w:rPr>
          <w:rFonts w:hint="cs"/>
          <w:rtl/>
        </w:rPr>
        <w:t>تحقيق</w:t>
      </w:r>
      <w:r w:rsidRPr="006E28E9">
        <w:rPr>
          <w:rtl/>
        </w:rPr>
        <w:t xml:space="preserve"> أي هدف</w:t>
      </w:r>
      <w:r w:rsidRPr="006E28E9">
        <w:rPr>
          <w:rFonts w:hint="cs"/>
          <w:rtl/>
        </w:rPr>
        <w:t xml:space="preserve"> وغاية</w:t>
      </w:r>
      <w:r w:rsidRPr="006E28E9">
        <w:rPr>
          <w:rtl/>
        </w:rPr>
        <w:t>.</w:t>
      </w:r>
    </w:p>
    <w:p w:rsidR="008C7124" w:rsidRPr="006E28E9" w:rsidRDefault="008C7124" w:rsidP="0092648A">
      <w:pPr>
        <w:pStyle w:val="FootnoteText"/>
        <w:rPr>
          <w:rtl/>
        </w:rPr>
      </w:pPr>
      <w:r w:rsidRPr="006E28E9">
        <w:rPr>
          <w:rFonts w:hint="cs"/>
          <w:rtl/>
        </w:rPr>
        <w:tab/>
      </w:r>
      <w:r w:rsidRPr="006E28E9">
        <w:rPr>
          <w:rtl/>
        </w:rPr>
        <w:t>ينبغي أن ننتبه إلى أننا يمكننا أن نجد تغن</w:t>
      </w:r>
      <w:r w:rsidRPr="006E28E9">
        <w:rPr>
          <w:rFonts w:hint="cs"/>
          <w:rtl/>
        </w:rPr>
        <w:t>ِّ</w:t>
      </w:r>
      <w:r w:rsidRPr="006E28E9">
        <w:rPr>
          <w:rtl/>
        </w:rPr>
        <w:t>ي</w:t>
      </w:r>
      <w:r w:rsidRPr="006E28E9">
        <w:rPr>
          <w:rFonts w:hint="cs"/>
          <w:rtl/>
        </w:rPr>
        <w:t>ًا</w:t>
      </w:r>
      <w:r w:rsidRPr="006E28E9">
        <w:rPr>
          <w:rtl/>
        </w:rPr>
        <w:t xml:space="preserve"> إسلامي</w:t>
      </w:r>
      <w:r w:rsidRPr="006E28E9">
        <w:rPr>
          <w:rFonts w:hint="cs"/>
          <w:rtl/>
        </w:rPr>
        <w:t>ًّا</w:t>
      </w:r>
      <w:r w:rsidRPr="006E28E9">
        <w:rPr>
          <w:rtl/>
        </w:rPr>
        <w:t xml:space="preserve"> وإسلاميات</w:t>
      </w:r>
      <w:r w:rsidRPr="006E28E9">
        <w:rPr>
          <w:rFonts w:hint="cs"/>
          <w:rtl/>
        </w:rPr>
        <w:t>ٍ</w:t>
      </w:r>
      <w:r w:rsidRPr="006E28E9">
        <w:rPr>
          <w:rtl/>
        </w:rPr>
        <w:t xml:space="preserve"> كثيرة</w:t>
      </w:r>
      <w:r w:rsidRPr="006E28E9">
        <w:rPr>
          <w:rFonts w:hint="cs"/>
          <w:rtl/>
        </w:rPr>
        <w:t>ً</w:t>
      </w:r>
      <w:r w:rsidRPr="006E28E9">
        <w:rPr>
          <w:rtl/>
        </w:rPr>
        <w:t xml:space="preserve"> </w:t>
      </w:r>
      <w:r w:rsidRPr="006E28E9">
        <w:rPr>
          <w:rFonts w:hint="cs"/>
          <w:rtl/>
        </w:rPr>
        <w:t xml:space="preserve">أيضًا في </w:t>
      </w:r>
      <w:r w:rsidRPr="006E28E9">
        <w:rPr>
          <w:rtl/>
        </w:rPr>
        <w:t>مؤلفات «بهار» و</w:t>
      </w:r>
      <w:r w:rsidRPr="006E28E9">
        <w:rPr>
          <w:rFonts w:hint="cs"/>
          <w:rtl/>
        </w:rPr>
        <w:t>كتاباته.</w:t>
      </w:r>
      <w:r w:rsidRPr="006E28E9">
        <w:rPr>
          <w:rtl/>
        </w:rPr>
        <w:t xml:space="preserve"> كما يمكننا أن نلاحظ في نظريات </w:t>
      </w:r>
      <w:r w:rsidRPr="006E28E9">
        <w:rPr>
          <w:rFonts w:hint="cs"/>
          <w:rtl/>
        </w:rPr>
        <w:t>«</w:t>
      </w:r>
      <w:r w:rsidRPr="006E28E9">
        <w:rPr>
          <w:rtl/>
        </w:rPr>
        <w:t>بهار</w:t>
      </w:r>
      <w:r w:rsidRPr="006E28E9">
        <w:rPr>
          <w:rFonts w:hint="cs"/>
          <w:rtl/>
        </w:rPr>
        <w:t>»</w:t>
      </w:r>
      <w:r w:rsidRPr="006E28E9">
        <w:rPr>
          <w:rtl/>
        </w:rPr>
        <w:t xml:space="preserve"> تلك النظرة التي تفصل الإسلام </w:t>
      </w:r>
      <w:r w:rsidRPr="006E28E9">
        <w:rPr>
          <w:rFonts w:hint="cs"/>
          <w:rtl/>
        </w:rPr>
        <w:t xml:space="preserve">عن </w:t>
      </w:r>
      <w:r w:rsidRPr="006E28E9">
        <w:rPr>
          <w:rtl/>
        </w:rPr>
        <w:t>العرب. (رغم أن العرب هجم</w:t>
      </w:r>
      <w:r w:rsidRPr="006E28E9">
        <w:rPr>
          <w:rFonts w:hint="cs"/>
          <w:rtl/>
        </w:rPr>
        <w:t>وا</w:t>
      </w:r>
      <w:r w:rsidRPr="006E28E9">
        <w:rPr>
          <w:rtl/>
        </w:rPr>
        <w:t xml:space="preserve"> علينا كالسارق</w:t>
      </w:r>
      <w:r w:rsidRPr="006E28E9">
        <w:rPr>
          <w:rFonts w:hint="cs"/>
          <w:rtl/>
        </w:rPr>
        <w:t xml:space="preserve"> *** </w:t>
      </w:r>
      <w:r w:rsidRPr="006E28E9">
        <w:rPr>
          <w:rtl/>
        </w:rPr>
        <w:t>إلا أنه</w:t>
      </w:r>
      <w:r w:rsidRPr="006E28E9">
        <w:rPr>
          <w:rFonts w:hint="cs"/>
          <w:rtl/>
        </w:rPr>
        <w:t>م</w:t>
      </w:r>
      <w:r w:rsidRPr="006E28E9">
        <w:rPr>
          <w:rtl/>
        </w:rPr>
        <w:t xml:space="preserve"> </w:t>
      </w:r>
      <w:r w:rsidRPr="006E28E9">
        <w:rPr>
          <w:rFonts w:hint="cs"/>
          <w:rtl/>
        </w:rPr>
        <w:t>أعطونا</w:t>
      </w:r>
      <w:r w:rsidRPr="006E28E9">
        <w:rPr>
          <w:rtl/>
        </w:rPr>
        <w:t xml:space="preserve"> دين</w:t>
      </w:r>
      <w:r w:rsidRPr="006E28E9">
        <w:rPr>
          <w:rFonts w:hint="cs"/>
          <w:rtl/>
        </w:rPr>
        <w:t>ً</w:t>
      </w:r>
      <w:r w:rsidRPr="006E28E9">
        <w:rPr>
          <w:rtl/>
        </w:rPr>
        <w:t>ا كريم</w:t>
      </w:r>
      <w:r w:rsidRPr="006E28E9">
        <w:rPr>
          <w:rFonts w:hint="cs"/>
          <w:rtl/>
        </w:rPr>
        <w:t>ً</w:t>
      </w:r>
      <w:r w:rsidRPr="006E28E9">
        <w:rPr>
          <w:rtl/>
        </w:rPr>
        <w:t>ا). وعلى كل حال</w:t>
      </w:r>
      <w:r w:rsidRPr="006E28E9">
        <w:rPr>
          <w:rFonts w:hint="cs"/>
          <w:rtl/>
        </w:rPr>
        <w:t>،</w:t>
      </w:r>
      <w:r w:rsidRPr="006E28E9">
        <w:rPr>
          <w:rtl/>
        </w:rPr>
        <w:t xml:space="preserve"> كل شاعر لديه مثل ه</w:t>
      </w:r>
      <w:r w:rsidRPr="006E28E9">
        <w:rPr>
          <w:rFonts w:hint="cs"/>
          <w:rtl/>
        </w:rPr>
        <w:t>ذا الإقبال والإدبار والصعود والهبوط</w:t>
      </w:r>
      <w:r w:rsidRPr="006E28E9">
        <w:rPr>
          <w:rtl/>
        </w:rPr>
        <w:t>. والخلاصة</w:t>
      </w:r>
      <w:r w:rsidRPr="006E28E9">
        <w:rPr>
          <w:rFonts w:hint="cs"/>
          <w:rtl/>
        </w:rPr>
        <w:t>،</w:t>
      </w:r>
      <w:r w:rsidRPr="006E28E9">
        <w:rPr>
          <w:rtl/>
        </w:rPr>
        <w:t xml:space="preserve"> </w:t>
      </w:r>
      <w:r w:rsidRPr="006E28E9">
        <w:rPr>
          <w:rFonts w:hint="cs"/>
          <w:rtl/>
        </w:rPr>
        <w:t>الأمر الذي</w:t>
      </w:r>
      <w:r w:rsidRPr="006E28E9">
        <w:rPr>
          <w:rtl/>
        </w:rPr>
        <w:t xml:space="preserve"> يمكن ملاحظته في فكر «بهار» هو تجدد </w:t>
      </w:r>
      <w:r w:rsidRPr="006E28E9">
        <w:rPr>
          <w:rFonts w:hint="cs"/>
          <w:rtl/>
        </w:rPr>
        <w:t xml:space="preserve">يتماشى </w:t>
      </w:r>
      <w:r w:rsidRPr="006E28E9">
        <w:rPr>
          <w:rtl/>
        </w:rPr>
        <w:t xml:space="preserve">على نحو من الأنحاء مع </w:t>
      </w:r>
      <w:r w:rsidRPr="006E28E9">
        <w:rPr>
          <w:rFonts w:hint="cs"/>
          <w:rtl/>
        </w:rPr>
        <w:t>التقاليد القديمة</w:t>
      </w:r>
      <w:r w:rsidRPr="006E28E9">
        <w:rPr>
          <w:rtl/>
        </w:rPr>
        <w:t xml:space="preserve">. أما </w:t>
      </w:r>
      <w:r w:rsidRPr="006E28E9">
        <w:rPr>
          <w:rFonts w:hint="cs"/>
          <w:rtl/>
        </w:rPr>
        <w:t>أنه</w:t>
      </w:r>
      <w:r w:rsidRPr="006E28E9">
        <w:rPr>
          <w:rtl/>
        </w:rPr>
        <w:t xml:space="preserve"> أي </w:t>
      </w:r>
      <w:r w:rsidRPr="006E28E9">
        <w:rPr>
          <w:rFonts w:hint="cs"/>
          <w:rtl/>
        </w:rPr>
        <w:t xml:space="preserve">كفَّة </w:t>
      </w:r>
      <w:r w:rsidRPr="006E28E9">
        <w:rPr>
          <w:rtl/>
        </w:rPr>
        <w:t>من الكفتين كان راجح</w:t>
      </w:r>
      <w:r w:rsidRPr="006E28E9">
        <w:rPr>
          <w:rFonts w:hint="cs"/>
          <w:rtl/>
        </w:rPr>
        <w:t>ً</w:t>
      </w:r>
      <w:r w:rsidRPr="006E28E9">
        <w:rPr>
          <w:rtl/>
        </w:rPr>
        <w:t>ا لديه</w:t>
      </w:r>
      <w:r w:rsidRPr="006E28E9">
        <w:rPr>
          <w:rFonts w:hint="cs"/>
          <w:rtl/>
        </w:rPr>
        <w:t>،</w:t>
      </w:r>
      <w:r w:rsidRPr="006E28E9">
        <w:rPr>
          <w:rtl/>
        </w:rPr>
        <w:t xml:space="preserve"> وموضوع كيفية تلفيقه بين تينك النظر</w:t>
      </w:r>
      <w:r w:rsidRPr="006E28E9">
        <w:rPr>
          <w:rFonts w:hint="cs"/>
          <w:rtl/>
        </w:rPr>
        <w:t>ي</w:t>
      </w:r>
      <w:r w:rsidRPr="006E28E9">
        <w:rPr>
          <w:rtl/>
        </w:rPr>
        <w:t xml:space="preserve">تين فهو </w:t>
      </w:r>
      <w:r w:rsidRPr="006E28E9">
        <w:rPr>
          <w:rFonts w:hint="cs"/>
          <w:rtl/>
        </w:rPr>
        <w:t>موضوع</w:t>
      </w:r>
      <w:r w:rsidRPr="006E28E9">
        <w:rPr>
          <w:rtl/>
        </w:rPr>
        <w:t xml:space="preserve"> آخر يحتاج إلى كلام خاص.</w:t>
      </w:r>
    </w:p>
  </w:footnote>
  <w:footnote w:id="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انظر: </w:t>
      </w:r>
      <w:r w:rsidRPr="006E28E9">
        <w:rPr>
          <w:rStyle w:val="Char9"/>
          <w:sz w:val="20"/>
          <w:szCs w:val="20"/>
          <w:rtl/>
        </w:rPr>
        <w:t>باستان</w:t>
      </w:r>
      <w:r w:rsidRPr="006E28E9">
        <w:rPr>
          <w:rStyle w:val="Char9"/>
          <w:rFonts w:hint="cs"/>
          <w:sz w:val="20"/>
          <w:szCs w:val="20"/>
          <w:rtl/>
        </w:rPr>
        <w:t>‌گرا</w:t>
      </w:r>
      <w:r>
        <w:rPr>
          <w:rStyle w:val="Char9"/>
          <w:rFonts w:hint="cs"/>
          <w:sz w:val="20"/>
          <w:szCs w:val="20"/>
          <w:rtl/>
        </w:rPr>
        <w:t>ی</w:t>
      </w:r>
      <w:r w:rsidRPr="006E28E9">
        <w:rPr>
          <w:rStyle w:val="Char9"/>
          <w:rFonts w:hint="cs"/>
          <w:sz w:val="20"/>
          <w:szCs w:val="20"/>
          <w:rtl/>
        </w:rPr>
        <w:t>ى</w:t>
      </w:r>
      <w:r w:rsidRPr="006E28E9">
        <w:rPr>
          <w:rStyle w:val="Char9"/>
          <w:sz w:val="20"/>
          <w:szCs w:val="20"/>
          <w:rtl/>
        </w:rPr>
        <w:t xml:space="preserve"> </w:t>
      </w:r>
      <w:r w:rsidRPr="006E28E9">
        <w:rPr>
          <w:rStyle w:val="Char9"/>
          <w:rFonts w:hint="cs"/>
          <w:sz w:val="20"/>
          <w:szCs w:val="20"/>
          <w:rtl/>
        </w:rPr>
        <w:t>در</w:t>
      </w:r>
      <w:r w:rsidRPr="006E28E9">
        <w:rPr>
          <w:rStyle w:val="Char9"/>
          <w:sz w:val="20"/>
          <w:szCs w:val="20"/>
          <w:rtl/>
        </w:rPr>
        <w:t xml:space="preserve"> </w:t>
      </w:r>
      <w:r w:rsidRPr="006E28E9">
        <w:rPr>
          <w:rStyle w:val="Char9"/>
          <w:rFonts w:hint="cs"/>
          <w:sz w:val="20"/>
          <w:szCs w:val="20"/>
          <w:rtl/>
        </w:rPr>
        <w:t>تار</w:t>
      </w:r>
      <w:r>
        <w:rPr>
          <w:rStyle w:val="Char9"/>
          <w:rFonts w:hint="cs"/>
          <w:sz w:val="20"/>
          <w:szCs w:val="20"/>
          <w:rtl/>
        </w:rPr>
        <w:t>ی</w:t>
      </w:r>
      <w:r w:rsidRPr="006E28E9">
        <w:rPr>
          <w:rStyle w:val="Char9"/>
          <w:rFonts w:hint="cs"/>
          <w:sz w:val="20"/>
          <w:szCs w:val="20"/>
          <w:rtl/>
        </w:rPr>
        <w:t>خ</w:t>
      </w:r>
      <w:r w:rsidRPr="006E28E9">
        <w:rPr>
          <w:rStyle w:val="Char9"/>
          <w:sz w:val="20"/>
          <w:szCs w:val="20"/>
          <w:rtl/>
        </w:rPr>
        <w:t xml:space="preserve"> </w:t>
      </w:r>
      <w:r w:rsidRPr="006E28E9">
        <w:rPr>
          <w:rStyle w:val="Char9"/>
          <w:rFonts w:hint="cs"/>
          <w:sz w:val="20"/>
          <w:szCs w:val="20"/>
          <w:rtl/>
        </w:rPr>
        <w:t>معاصر</w:t>
      </w:r>
      <w:r w:rsidRPr="006E28E9">
        <w:rPr>
          <w:rStyle w:val="Char9"/>
          <w:sz w:val="20"/>
          <w:szCs w:val="20"/>
          <w:rtl/>
        </w:rPr>
        <w:t xml:space="preserve"> </w:t>
      </w:r>
      <w:r w:rsidRPr="006E28E9">
        <w:rPr>
          <w:rStyle w:val="Char9"/>
          <w:rFonts w:hint="cs"/>
          <w:sz w:val="20"/>
          <w:szCs w:val="20"/>
          <w:rtl/>
        </w:rPr>
        <w:t>ا</w:t>
      </w:r>
      <w:r>
        <w:rPr>
          <w:rStyle w:val="Char9"/>
          <w:rFonts w:hint="cs"/>
          <w:sz w:val="20"/>
          <w:szCs w:val="20"/>
          <w:rtl/>
        </w:rPr>
        <w:t>ی</w:t>
      </w:r>
      <w:r w:rsidRPr="006E28E9">
        <w:rPr>
          <w:rStyle w:val="Char9"/>
          <w:rFonts w:hint="cs"/>
          <w:sz w:val="20"/>
          <w:szCs w:val="20"/>
          <w:rtl/>
        </w:rPr>
        <w:t>ران</w:t>
      </w:r>
      <w:r w:rsidRPr="006E28E9">
        <w:rPr>
          <w:sz w:val="20"/>
          <w:szCs w:val="20"/>
          <w:rtl/>
        </w:rPr>
        <w:t xml:space="preserve"> </w:t>
      </w:r>
      <w:r w:rsidRPr="006E28E9">
        <w:rPr>
          <w:rtl/>
        </w:rPr>
        <w:t xml:space="preserve">[نزعة الاهتمام بالتاريخ القديم في تاريخ إيران المعاصر]، </w:t>
      </w:r>
      <w:r w:rsidRPr="006E28E9">
        <w:rPr>
          <w:rFonts w:hint="cs"/>
          <w:rtl/>
        </w:rPr>
        <w:t>رضا بيگدلو، طهران، نشر مركز، 1380هـ.ش/2001م.</w:t>
      </w:r>
      <w:r w:rsidRPr="006E28E9">
        <w:rPr>
          <w:rtl/>
        </w:rPr>
        <w:t xml:space="preserve"> </w:t>
      </w:r>
    </w:p>
  </w:footnote>
  <w:footnote w:id="9">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6E28E9">
        <w:rPr>
          <w:b/>
          <w:bCs/>
          <w:rtl/>
        </w:rPr>
        <w:t>مجلة مصرف إيران الوطني</w:t>
      </w:r>
      <w:r w:rsidRPr="006E28E9">
        <w:rPr>
          <w:rtl/>
        </w:rPr>
        <w:t>، العدد 108 (فروردين 1384 هـ.ش</w:t>
      </w:r>
      <w:r w:rsidRPr="006E28E9">
        <w:rPr>
          <w:rFonts w:hint="cs"/>
          <w:rtl/>
        </w:rPr>
        <w:t>/2005م</w:t>
      </w:r>
      <w:r w:rsidRPr="006E28E9">
        <w:rPr>
          <w:rtl/>
        </w:rPr>
        <w:t>، ص 36).</w:t>
      </w:r>
    </w:p>
  </w:footnote>
  <w:footnote w:id="10">
    <w:p w:rsidR="008C7124" w:rsidRPr="006E28E9" w:rsidRDefault="008C7124" w:rsidP="0092648A">
      <w:pPr>
        <w:pStyle w:val="FootnoteText"/>
        <w:rPr>
          <w:spacing w:val="-6"/>
        </w:rPr>
      </w:pPr>
      <w:r w:rsidRPr="006E28E9">
        <w:rPr>
          <w:rFonts w:ascii="Arabic11 BT" w:hAnsi="Arabic11 BT" w:cs="Arabic11 BT"/>
          <w:spacing w:val="-6"/>
        </w:rPr>
        <w:footnoteRef/>
      </w:r>
      <w:r w:rsidRPr="006E28E9">
        <w:rPr>
          <w:rFonts w:hint="cs"/>
          <w:spacing w:val="-6"/>
          <w:rtl/>
        </w:rPr>
        <w:t xml:space="preserve">. حول هذا الموضوع انظروا: </w:t>
      </w:r>
      <w:r w:rsidRPr="008C7124">
        <w:rPr>
          <w:rStyle w:val="Char9"/>
          <w:rFonts w:hint="cs"/>
          <w:spacing w:val="-6"/>
          <w:sz w:val="20"/>
          <w:szCs w:val="20"/>
          <w:rtl/>
        </w:rPr>
        <w:t>خاطرات س</w:t>
      </w:r>
      <w:r>
        <w:rPr>
          <w:rStyle w:val="Char9"/>
          <w:rFonts w:hint="cs"/>
          <w:spacing w:val="-6"/>
          <w:sz w:val="20"/>
          <w:szCs w:val="20"/>
          <w:rtl/>
        </w:rPr>
        <w:t>ی</w:t>
      </w:r>
      <w:r w:rsidRPr="008C7124">
        <w:rPr>
          <w:rStyle w:val="Char9"/>
          <w:rFonts w:hint="cs"/>
          <w:spacing w:val="-6"/>
          <w:sz w:val="20"/>
          <w:szCs w:val="20"/>
          <w:rtl/>
        </w:rPr>
        <w:t>اسى خل</w:t>
      </w:r>
      <w:r>
        <w:rPr>
          <w:rStyle w:val="Char9"/>
          <w:rFonts w:hint="cs"/>
          <w:spacing w:val="-6"/>
          <w:sz w:val="20"/>
          <w:szCs w:val="20"/>
          <w:rtl/>
        </w:rPr>
        <w:t>ی</w:t>
      </w:r>
      <w:r w:rsidRPr="008C7124">
        <w:rPr>
          <w:rStyle w:val="Char9"/>
          <w:rFonts w:hint="cs"/>
          <w:spacing w:val="-6"/>
          <w:sz w:val="20"/>
          <w:szCs w:val="20"/>
          <w:rtl/>
        </w:rPr>
        <w:t>ل مل</w:t>
      </w:r>
      <w:r>
        <w:rPr>
          <w:rStyle w:val="Char9"/>
          <w:rFonts w:hint="cs"/>
          <w:spacing w:val="-6"/>
          <w:sz w:val="20"/>
          <w:szCs w:val="20"/>
          <w:rtl/>
        </w:rPr>
        <w:t>ک</w:t>
      </w:r>
      <w:r w:rsidRPr="008C7124">
        <w:rPr>
          <w:rStyle w:val="Char9"/>
          <w:rFonts w:hint="cs"/>
          <w:spacing w:val="-6"/>
          <w:sz w:val="20"/>
          <w:szCs w:val="20"/>
          <w:rtl/>
        </w:rPr>
        <w:t>ى</w:t>
      </w:r>
      <w:r w:rsidRPr="006E28E9">
        <w:rPr>
          <w:rFonts w:hint="cs"/>
          <w:spacing w:val="-6"/>
          <w:rtl/>
        </w:rPr>
        <w:t xml:space="preserve"> [المذكرات السياسية لخليل ملكي]، ص 326 - 338.</w:t>
      </w:r>
    </w:p>
  </w:footnote>
  <w:footnote w:id="11">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ذكر المهندس مهدي بازرگان توضيحًا حول نفوذ أتباع حزب توده في الجامعة في السنوات التي سبقت شهر شهريور عام 1320 هـ.ش (1941م). انظروا: </w:t>
      </w:r>
      <w:r w:rsidRPr="008C7124">
        <w:rPr>
          <w:rStyle w:val="Char9"/>
          <w:rFonts w:hint="cs"/>
          <w:sz w:val="20"/>
          <w:szCs w:val="20"/>
          <w:rtl/>
        </w:rPr>
        <w:t>رسوائى استبداد در دفاع</w:t>
      </w:r>
      <w:r>
        <w:rPr>
          <w:rStyle w:val="Char9"/>
          <w:rFonts w:hint="cs"/>
          <w:sz w:val="20"/>
          <w:szCs w:val="20"/>
          <w:rtl/>
        </w:rPr>
        <w:t>ی</w:t>
      </w:r>
      <w:r w:rsidRPr="008C7124">
        <w:rPr>
          <w:rStyle w:val="Char9"/>
          <w:rFonts w:hint="cs"/>
          <w:sz w:val="20"/>
          <w:szCs w:val="20"/>
          <w:rtl/>
        </w:rPr>
        <w:t>ات مهندس بازرگان</w:t>
      </w:r>
      <w:r w:rsidRPr="006E28E9">
        <w:rPr>
          <w:rFonts w:hint="cs"/>
          <w:rtl/>
        </w:rPr>
        <w:t xml:space="preserve"> [فضيحة الاستبداد في دفاعيات المهندس بازرگان]، ص 116؛ </w:t>
      </w:r>
      <w:r w:rsidRPr="008C7124">
        <w:rPr>
          <w:rStyle w:val="Char9"/>
          <w:rFonts w:hint="cs"/>
          <w:sz w:val="20"/>
          <w:szCs w:val="20"/>
          <w:rtl/>
        </w:rPr>
        <w:t>شصت سال خدمت مقاومت</w:t>
      </w:r>
      <w:r w:rsidRPr="006E28E9">
        <w:rPr>
          <w:rFonts w:hint="cs"/>
          <w:rtl/>
        </w:rPr>
        <w:t xml:space="preserve"> [ستون عامًا في خدمة المقاومة]، ج 1، ص 246 - 249. وقال رجلٌ، كان سابقًا من أعضاء حزب توده، في حديثه عن الشباب من هذا الجيل: قامت منظمة الشباب [حزب توده] إلى جانب منظماتها العلنية... بدور فعال في التربية الفكرية للشباب، حتى أنهم كانوا يعلمون الأطفال من أبناء 13 أو 14 عامًا أنه لا ينبغي عليهم أن يتبعوا القيم التي فرضتها عليهم الأجيال السابقة، فكان هؤلاء الشباب الصغار يتوقفون عن الصلاة والعبادة وينشدون أناشيد الشباب والسلام. وإذا أرادوا أن يقسموا فإنهم لم يكونوا يقسمون بالله والنبي بل يقسمون بهدفهم وغايتهم... انظروا: جلال (و) آل أحمد، ص 47.</w:t>
      </w:r>
    </w:p>
  </w:footnote>
  <w:footnote w:id="12">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كتب السيد جلال الدين الفارسي الذي كان في تلك الفترة في مدينة مشهد يقول: أتذكر ذلك اليوم الذي بدأ فيه النافخون في البوق في الفناء القديم [لمشهد ضريح الإمام الرضا] بنفخ البوق بعد أن توقفوا عن فعل ذلك طيلة مدة مُلْك رضا خان، وأتذكر كيف اعتبر والداي وجيراننا في زقاق «سرحوض» وزقاق «عباسقلي خان» في مشهد، كلهم، ذلك الأمر إيذانًا بانتهاء عهد مُلْك بهلوي، ونهضوا وقاموا بإشعال كل ما كان لدينا من مصابيح جميلة وكبيرة وعتيقة فرحًا وابتهاجًا. (من ملاحظاته التي كتبها في نقده للطبعة الأولى من الكتاب الحاضر). أما كسروي فقد كتب معربًا عن غضبه وسخطه من بدء اشتداد قوة مؤسسة علماء الدين بعد شهريور 1320 هـ.ش (1941م) يقول: «عاد أولئك الذين كانوا قد لبسوا لباسًا آخر إلى لبس العباءة والعمامة من جديد، وظهر أولئك الذين كانوا قد اختفوا في جحورهم إلى العلن من جديد، وابتدؤوا من جديد محاربتهم للقوانين والمعارف والعلوم وكل المحاسن العصرية. عاد الشيوخ حديثو السن والسادة (الهاشميين) الأطفال إلى الظهور من جديد، بعد أن كانوا يعيشون على التسوُّل والطفيلية في البيادي...». انظر: </w:t>
      </w:r>
      <w:r w:rsidRPr="008C7124">
        <w:rPr>
          <w:rStyle w:val="Char9"/>
          <w:rFonts w:hint="cs"/>
          <w:sz w:val="20"/>
          <w:szCs w:val="20"/>
          <w:rtl/>
        </w:rPr>
        <w:t>دادگاه</w:t>
      </w:r>
      <w:r w:rsidRPr="006E28E9">
        <w:rPr>
          <w:rFonts w:hint="cs"/>
          <w:rtl/>
        </w:rPr>
        <w:t xml:space="preserve"> [المحكمة] ، ص 55.</w:t>
      </w:r>
    </w:p>
  </w:footnote>
  <w:footnote w:id="1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يقول مهدي الحكيمي حول هذا الموضوع: كان لكسروي في مشهد أيضًا، وخاصَّةً في كلية الطب فيها، أتباع ومريدون. وأنا أعرف من زملائي في الجامعة أشخاصًا انجذبوا إلى عقائد كسروي. ويقول يزدانيان، وهو من المدرسين الآخرين في مدينة مشهد: في بداية مجيئي إلى مدينة مشهد شاهدتُ انتشار الإيمان بأفكار كسروي الذي كان قد بلغ ذروته بين الناس، ومن ذلك أن ابن عمي كان من أنصار كسروي والقريبين منه. انظر: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 xml:space="preserve">خ شفاهى </w:t>
      </w:r>
      <w:r>
        <w:rPr>
          <w:rStyle w:val="Char9"/>
          <w:rFonts w:hint="cs"/>
          <w:sz w:val="20"/>
          <w:szCs w:val="20"/>
          <w:rtl/>
        </w:rPr>
        <w:t>ک</w:t>
      </w:r>
      <w:r w:rsidRPr="008C7124">
        <w:rPr>
          <w:rStyle w:val="Char9"/>
          <w:rFonts w:hint="cs"/>
          <w:sz w:val="20"/>
          <w:szCs w:val="20"/>
          <w:rtl/>
        </w:rPr>
        <w:t>انون نشر حقا</w:t>
      </w:r>
      <w:r>
        <w:rPr>
          <w:rStyle w:val="Char9"/>
          <w:rFonts w:hint="cs"/>
          <w:sz w:val="20"/>
          <w:szCs w:val="20"/>
          <w:rtl/>
        </w:rPr>
        <w:t>ی</w:t>
      </w:r>
      <w:r w:rsidRPr="008C7124">
        <w:rPr>
          <w:rStyle w:val="Char9"/>
          <w:rFonts w:hint="cs"/>
          <w:sz w:val="20"/>
          <w:szCs w:val="20"/>
          <w:rtl/>
        </w:rPr>
        <w:t>ق</w:t>
      </w:r>
      <w:r w:rsidRPr="006E28E9">
        <w:rPr>
          <w:rFonts w:hint="cs"/>
          <w:rtl/>
        </w:rPr>
        <w:t xml:space="preserve"> [التاريخ الشفهي لمركز نشر الحقائق]، ص 73.</w:t>
      </w:r>
    </w:p>
  </w:footnote>
  <w:footnote w:id="14">
    <w:p w:rsidR="008C7124" w:rsidRPr="006E28E9" w:rsidRDefault="008C7124" w:rsidP="0092648A">
      <w:pPr>
        <w:pStyle w:val="FootnoteText"/>
      </w:pPr>
      <w:r w:rsidRPr="006E28E9">
        <w:rPr>
          <w:rFonts w:ascii="Arabic11 BT" w:hAnsi="Arabic11 BT" w:cs="Arabic11 BT"/>
        </w:rPr>
        <w:footnoteRef/>
      </w:r>
      <w:r w:rsidRPr="006E28E9">
        <w:rPr>
          <w:rFonts w:hint="cs"/>
          <w:rtl/>
        </w:rPr>
        <w:t>. حوار مع مجلة «</w:t>
      </w:r>
      <w:r>
        <w:rPr>
          <w:rStyle w:val="Char9"/>
          <w:rFonts w:hint="cs"/>
          <w:sz w:val="20"/>
          <w:szCs w:val="20"/>
          <w:rtl/>
        </w:rPr>
        <w:t>ی</w:t>
      </w:r>
      <w:r w:rsidRPr="008C7124">
        <w:rPr>
          <w:rStyle w:val="Char9"/>
          <w:rFonts w:hint="cs"/>
          <w:sz w:val="20"/>
          <w:szCs w:val="20"/>
          <w:rtl/>
        </w:rPr>
        <w:t>ا لثارات</w:t>
      </w:r>
      <w:r w:rsidRPr="006E28E9">
        <w:rPr>
          <w:rFonts w:hint="cs"/>
          <w:rtl/>
        </w:rPr>
        <w:t>»، العدد 211، تاريخ 25/10/1381 هـ.ش (يوافق 15/1/2003م)، ص6.</w:t>
      </w:r>
    </w:p>
  </w:footnote>
  <w:footnote w:id="15">
    <w:p w:rsidR="008C7124" w:rsidRPr="006E28E9" w:rsidRDefault="008C7124" w:rsidP="0092648A">
      <w:pPr>
        <w:pStyle w:val="FootnoteText"/>
      </w:pPr>
      <w:r w:rsidRPr="006E28E9">
        <w:rPr>
          <w:rFonts w:ascii="Arabic11 BT" w:hAnsi="Arabic11 BT" w:cs="Arabic11 BT"/>
        </w:rPr>
        <w:footnoteRef/>
      </w:r>
      <w:r w:rsidRPr="006E28E9">
        <w:rPr>
          <w:rFonts w:hint="cs"/>
          <w:rtl/>
        </w:rPr>
        <w:t>. من أهم نقاط ضعف كسروي في كتابه تاريخ النهضة الدستورية مدحه المفرط لأتباع النهضة الدستورية في مدينة تبريز ولقمع حركة المطالبين بالدستورية في أصفهان إذ إنه بغض النظر عن الاختلافات الفكرية التي كانت بين تينك الحركتين الدستوريتين فإن الميول الإقليمية والقومية لكسروي [التركي الآذري التبريزي] دفعته إلى اتخاذ موقف ضد الحركة الدستورية في أصفهان وقد عبَّر في مواضع مختلفة عن هذا الشعور [الإقليمي] لديه.</w:t>
      </w:r>
    </w:p>
  </w:footnote>
  <w:footnote w:id="16">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زندگ</w:t>
      </w:r>
      <w:r>
        <w:rPr>
          <w:rStyle w:val="Char9"/>
          <w:rFonts w:hint="cs"/>
          <w:sz w:val="20"/>
          <w:szCs w:val="20"/>
          <w:rtl/>
        </w:rPr>
        <w:t>ی</w:t>
      </w:r>
      <w:r w:rsidRPr="008C7124">
        <w:rPr>
          <w:rStyle w:val="Char9"/>
          <w:rFonts w:hint="cs"/>
          <w:sz w:val="20"/>
          <w:szCs w:val="20"/>
          <w:rtl/>
        </w:rPr>
        <w:t>نامه</w:t>
      </w:r>
      <w:r w:rsidRPr="006E28E9">
        <w:rPr>
          <w:rFonts w:hint="cs"/>
          <w:rtl/>
        </w:rPr>
        <w:t>..... [سيرة حياة.....]، ص 27.</w:t>
      </w:r>
    </w:p>
  </w:footnote>
  <w:footnote w:id="17">
    <w:p w:rsidR="008C7124" w:rsidRPr="006E28E9" w:rsidRDefault="008C7124" w:rsidP="0092648A">
      <w:pPr>
        <w:pStyle w:val="FootnoteText"/>
        <w:rPr>
          <w:rtl/>
          <w:lang w:bidi="ar-SY"/>
        </w:rPr>
      </w:pPr>
      <w:r w:rsidRPr="006E28E9">
        <w:rPr>
          <w:rFonts w:ascii="Arabic11 BT" w:hAnsi="Arabic11 BT" w:cs="Arabic11 BT"/>
        </w:rPr>
        <w:footnoteRef/>
      </w:r>
      <w:r w:rsidRPr="006E28E9">
        <w:rPr>
          <w:rFonts w:hint="cs"/>
          <w:rtl/>
        </w:rPr>
        <w:t xml:space="preserve">. </w:t>
      </w:r>
      <w:r w:rsidRPr="006E28E9">
        <w:rPr>
          <w:rFonts w:hint="cs"/>
          <w:rtl/>
          <w:lang w:bidi="ar-SY"/>
        </w:rPr>
        <w:t xml:space="preserve">للشيخ قاسم إسلامي سوابق مشرقة في النضال الفكري والسياسي في العشرينيات والثلاثينيات من هذا القرن (يوافق الأربعينيات والخمسينيات من القرن العشرين الميلادي المنصرم). وقد نُشرت له سلسلة من المقالات في مجلة اسمها «اطلاعات» (مديرها السيد إسماعيلي خليلي) وبدأ صدورها في شهر مرداد من عام 1322 هـ.ش، وتواصل نشر مقالاته حتى العدد 20 من المجلة. يوجد في الصفحة الثانية من هذه المجلة عمود ديني كانت تنشر فيه مقالات المرحوم إسلامي. في العدد التاسع الصادر في شهر مرداد سنة 1322 هـ.ش/1943م نُشر له مقال حول الحضارة الإسلامية ومقارنتها بالحضارة الغربية انتقد فيه الذين يعتبرون الإسلام، والدين بشكل عام عائقًا أمام الحضارة. (ومن الجدير بالذكر أن هذه المجلة كانت تنشر أيضًا مقالات لمحمود شهابي تستدعي التأمل. مقاله من العدد الخامس من هذه المجلة يحمل عنوان: طريق السعادة الحقيقية هو الدين لا غير). وقد اعتقل الشيخ قاسم في إحدى المرات بسبب كتابته مقال ضد «رزم آراء» ونُزعت أظافر يديه (انظروا: </w:t>
      </w:r>
      <w:r w:rsidRPr="008C7124">
        <w:rPr>
          <w:rStyle w:val="Char9"/>
          <w:rFonts w:hint="cs"/>
          <w:sz w:val="20"/>
          <w:szCs w:val="20"/>
          <w:rtl/>
        </w:rPr>
        <w:t>گنج</w:t>
      </w:r>
      <w:r>
        <w:rPr>
          <w:rStyle w:val="Char9"/>
          <w:rFonts w:hint="cs"/>
          <w:sz w:val="20"/>
          <w:szCs w:val="20"/>
          <w:rtl/>
        </w:rPr>
        <w:t>ی</w:t>
      </w:r>
      <w:r w:rsidRPr="008C7124">
        <w:rPr>
          <w:rStyle w:val="Char9"/>
          <w:rFonts w:hint="cs"/>
          <w:sz w:val="20"/>
          <w:szCs w:val="20"/>
          <w:rtl/>
        </w:rPr>
        <w:t>نه دانشمندان</w:t>
      </w:r>
      <w:r w:rsidRPr="006E28E9">
        <w:rPr>
          <w:rFonts w:hint="cs"/>
          <w:rtl/>
          <w:lang w:bidi="ar-SY"/>
        </w:rPr>
        <w:t xml:space="preserve">، [كنز العلماء]، ج 2، ص 336، وانظروا حول اعتقاله في حوادث سنة 1343 هـ.ش: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w:t>
      </w:r>
      <w:r w:rsidRPr="006E28E9">
        <w:rPr>
          <w:rFonts w:hint="cs"/>
          <w:rtl/>
          <w:lang w:bidi="ar-SY"/>
        </w:rPr>
        <w:t>... [أصحاب الإمام برواية .....]، ج 27، ص 95، وأيضًا ص 207 - 215 تقرير عن كلمته التي ألقاها ضد القوانين التي صادق عليها المجلس النيابي في حينه). وبعد انتصار الثورة الإسلامية اغتيل الشيخ قاسم إسلامي على يد جماعة فرقان في الخامس من شهر مرداد 1359 هـ.ش [يوافق 27/7/1980م] بسبب معارضته الشديدة والمتعددة لأفكار الدكتور [علي] شريعتي.</w:t>
      </w:r>
    </w:p>
  </w:footnote>
  <w:footnote w:id="1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تواصلت مساعي أتباع كسروي وجهودهم تحت عنوان «باهمان آزادگان»، وواصل أتباعه نشر مؤلفاته ومجلاته على مدى ثلاثة إلى أربعة عقود بعد موته؛ لكن كسروي لم يستطع أبدًا أن ينال جاذبية أو يكتسب مكانةً بين المثقفين سوى مكانة المؤرخ. وقد استطاع أتباعه أن يمارسوا نشاطاتهم تلك في الوقت الذي كانت فيه المؤسسات والتنظيمات الدينية تعاني من قيود شديدة تحد من نشاطها بشكل كامل. قام تنظيم «باهمان آزادگان» بنشر كتاب في شهر إسفند من عام 1329 هـ.ش (1951م) بعنوان «</w:t>
      </w:r>
      <w:r w:rsidRPr="006E28E9">
        <w:rPr>
          <w:rFonts w:hint="cs"/>
          <w:b/>
          <w:bCs/>
          <w:rtl/>
        </w:rPr>
        <w:t>في ذكرى مساعي المرحوم كسروي</w:t>
      </w:r>
      <w:r w:rsidRPr="006E28E9">
        <w:rPr>
          <w:rFonts w:hint="cs"/>
          <w:rtl/>
        </w:rPr>
        <w:t>». كُتب على غلاف مجلة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ام</w:t>
      </w:r>
      <w:r w:rsidRPr="006E28E9">
        <w:rPr>
          <w:rFonts w:hint="cs"/>
          <w:rtl/>
        </w:rPr>
        <w:t>» في عددها الصادر في شهر إسفند في سنة 1339 هـ.ش (1961م): «مركز الأحرار مفتوح كل يوم من الساعة 18 كما يتم إلقاء محاضرة عامة فيه أيام الخميس». وكان عنوان المجلة الأخرى التي يصدرها ذلك المصدر: «</w:t>
      </w:r>
      <w:r w:rsidRPr="008C7124">
        <w:rPr>
          <w:rStyle w:val="Char9"/>
          <w:rFonts w:hint="cs"/>
          <w:sz w:val="20"/>
          <w:szCs w:val="20"/>
          <w:rtl/>
        </w:rPr>
        <w:t>روزبه پ</w:t>
      </w:r>
      <w:r>
        <w:rPr>
          <w:rStyle w:val="Char9"/>
          <w:rFonts w:hint="cs"/>
          <w:sz w:val="20"/>
          <w:szCs w:val="20"/>
          <w:rtl/>
        </w:rPr>
        <w:t>ی</w:t>
      </w:r>
      <w:r w:rsidRPr="008C7124">
        <w:rPr>
          <w:rStyle w:val="Char9"/>
          <w:rFonts w:hint="cs"/>
          <w:sz w:val="20"/>
          <w:szCs w:val="20"/>
          <w:rtl/>
        </w:rPr>
        <w:t>مان</w:t>
      </w:r>
      <w:r w:rsidRPr="006E28E9">
        <w:rPr>
          <w:rFonts w:hint="cs"/>
          <w:rtl/>
        </w:rPr>
        <w:t xml:space="preserve">»، ويعود تاريخ نشرها إلى شهر آذر سنة 1338 هـ.ش. (نوفمبر/تشرين الثاني، 1959م). اهتمت هذه المجلة بالحديث عن جزء من نشاطات أتباع كسروي في مدن إيران المختلفة، ولاسيما إقامتهم لحفل الفاتح من شهر «آذر» بمناسبة انتشار العدد الأول من مجلة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مان</w:t>
      </w:r>
      <w:r w:rsidRPr="006E28E9">
        <w:rPr>
          <w:rFonts w:hint="cs"/>
          <w:rtl/>
        </w:rPr>
        <w:t xml:space="preserve"> التي بدأ كسروي بنشرها. ويبدو أن هذه المجلة واصلت انتشارها في السنوات اللاحقة أيضًا، فقد لاحظ كاتب هذه السطور مجلة «</w:t>
      </w:r>
      <w:r w:rsidRPr="008C7124">
        <w:rPr>
          <w:rStyle w:val="Char9"/>
          <w:rFonts w:hint="cs"/>
          <w:sz w:val="20"/>
          <w:szCs w:val="20"/>
          <w:rtl/>
        </w:rPr>
        <w:t>روزبه پ</w:t>
      </w:r>
      <w:r>
        <w:rPr>
          <w:rStyle w:val="Char9"/>
          <w:rFonts w:hint="cs"/>
          <w:sz w:val="20"/>
          <w:szCs w:val="20"/>
          <w:rtl/>
        </w:rPr>
        <w:t>ی</w:t>
      </w:r>
      <w:r w:rsidRPr="008C7124">
        <w:rPr>
          <w:rStyle w:val="Char9"/>
          <w:rFonts w:hint="cs"/>
          <w:sz w:val="20"/>
          <w:szCs w:val="20"/>
          <w:rtl/>
        </w:rPr>
        <w:t>مان</w:t>
      </w:r>
      <w:r w:rsidRPr="006E28E9">
        <w:rPr>
          <w:rFonts w:hint="cs"/>
          <w:rtl/>
        </w:rPr>
        <w:t>» سنة 1342 هـ.ش. (1963م)، كما بدأت مجلة أخرى اسمها «</w:t>
      </w:r>
      <w:r w:rsidRPr="008C7124">
        <w:rPr>
          <w:rStyle w:val="Char9"/>
          <w:rFonts w:hint="cs"/>
          <w:sz w:val="20"/>
          <w:szCs w:val="20"/>
          <w:rtl/>
        </w:rPr>
        <w:t xml:space="preserve">روزبه </w:t>
      </w:r>
      <w:r>
        <w:rPr>
          <w:rStyle w:val="Char9"/>
          <w:rFonts w:hint="cs"/>
          <w:sz w:val="20"/>
          <w:szCs w:val="20"/>
          <w:rtl/>
        </w:rPr>
        <w:t>ک</w:t>
      </w:r>
      <w:r w:rsidRPr="008C7124">
        <w:rPr>
          <w:rStyle w:val="Char9"/>
          <w:rFonts w:hint="cs"/>
          <w:sz w:val="20"/>
          <w:szCs w:val="20"/>
          <w:rtl/>
        </w:rPr>
        <w:t>تابسوزان</w:t>
      </w:r>
      <w:r w:rsidRPr="006E28E9">
        <w:rPr>
          <w:rFonts w:hint="cs"/>
          <w:rtl/>
        </w:rPr>
        <w:t>» بالانتشار في الأول من شهر دي سنة 1335 هـ.ش (شهر ديسمبر/كانون الأول، 1956م) وتم فيها بيان الهدف من حفلة حرق الكتب السنوية التي اعتاد أتباع كسروي إقامتها. كما قامت شركة چاپاك التابعة لهذه المجموعة، بنشر تقرير في شهر دي سنة 1336 هـ.ش (شهر ديسمبر/كانون الأول، 1957م) عن تلك النشاطات ونُشر كتيب باسم «</w:t>
      </w:r>
      <w:r w:rsidRPr="008C7124">
        <w:rPr>
          <w:rStyle w:val="Char9"/>
          <w:rFonts w:hint="cs"/>
          <w:sz w:val="20"/>
          <w:szCs w:val="20"/>
          <w:rtl/>
        </w:rPr>
        <w:t>آغاز پ</w:t>
      </w:r>
      <w:r>
        <w:rPr>
          <w:rStyle w:val="Char9"/>
          <w:rFonts w:hint="cs"/>
          <w:sz w:val="20"/>
          <w:szCs w:val="20"/>
          <w:rtl/>
        </w:rPr>
        <w:t>ی</w:t>
      </w:r>
      <w:r w:rsidRPr="008C7124">
        <w:rPr>
          <w:rStyle w:val="Char9"/>
          <w:rFonts w:hint="cs"/>
          <w:sz w:val="20"/>
          <w:szCs w:val="20"/>
          <w:rtl/>
        </w:rPr>
        <w:t>روز</w:t>
      </w:r>
      <w:r>
        <w:rPr>
          <w:rStyle w:val="Char9"/>
          <w:rFonts w:hint="cs"/>
          <w:sz w:val="20"/>
          <w:szCs w:val="20"/>
          <w:rtl/>
        </w:rPr>
        <w:t>ی</w:t>
      </w:r>
      <w:r w:rsidRPr="006E28E9">
        <w:rPr>
          <w:rFonts w:hint="cs"/>
          <w:rtl/>
        </w:rPr>
        <w:t>» [بداية النصر] في 15 شهر مرداد 1337 هـ.ش (1958م) بمناسبة الذكرى السنوية لانتصار الثورة الدستورية (13 مرداد) حيث قام أتباع كسروي بكتابة مقالات حول هذا الموضوع. في شهر آذر من سنة 1337 هـ.ش (نوفمبر/تشرين الثاني، 1958م) أيضًا قامت «كتابخانه پايدار» [المكتبة الدائمة] بنشر مجلة خاصة بأفكار كسروي اسمها «</w:t>
      </w:r>
      <w:r w:rsidRPr="008C7124">
        <w:rPr>
          <w:rStyle w:val="Char9"/>
          <w:rFonts w:hint="cs"/>
          <w:sz w:val="20"/>
          <w:szCs w:val="20"/>
          <w:rtl/>
        </w:rPr>
        <w:t>گامهاى پ</w:t>
      </w:r>
      <w:r>
        <w:rPr>
          <w:rStyle w:val="Char9"/>
          <w:rFonts w:hint="cs"/>
          <w:sz w:val="20"/>
          <w:szCs w:val="20"/>
          <w:rtl/>
        </w:rPr>
        <w:t>ی</w:t>
      </w:r>
      <w:r w:rsidRPr="008C7124">
        <w:rPr>
          <w:rStyle w:val="Char9"/>
          <w:rFonts w:hint="cs"/>
          <w:sz w:val="20"/>
          <w:szCs w:val="20"/>
          <w:rtl/>
        </w:rPr>
        <w:t>روز</w:t>
      </w:r>
      <w:r>
        <w:rPr>
          <w:rStyle w:val="Char9"/>
          <w:rFonts w:hint="cs"/>
          <w:sz w:val="20"/>
          <w:szCs w:val="20"/>
          <w:rtl/>
        </w:rPr>
        <w:t>ی</w:t>
      </w:r>
      <w:r w:rsidRPr="006E28E9">
        <w:rPr>
          <w:rFonts w:hint="cs"/>
          <w:rtl/>
        </w:rPr>
        <w:t>» [خطوات النصر]. عادت مجلة «</w:t>
      </w:r>
      <w:r w:rsidRPr="008C7124">
        <w:rPr>
          <w:rStyle w:val="Char9"/>
          <w:rFonts w:hint="cs"/>
          <w:sz w:val="20"/>
          <w:szCs w:val="20"/>
          <w:rtl/>
        </w:rPr>
        <w:t xml:space="preserve">روزبه </w:t>
      </w:r>
      <w:r>
        <w:rPr>
          <w:rStyle w:val="Char9"/>
          <w:rFonts w:hint="cs"/>
          <w:sz w:val="20"/>
          <w:szCs w:val="20"/>
          <w:rtl/>
        </w:rPr>
        <w:t>ک</w:t>
      </w:r>
      <w:r w:rsidRPr="008C7124">
        <w:rPr>
          <w:rStyle w:val="Char9"/>
          <w:rFonts w:hint="cs"/>
          <w:sz w:val="20"/>
          <w:szCs w:val="20"/>
          <w:rtl/>
        </w:rPr>
        <w:t>تابسوزان</w:t>
      </w:r>
      <w:r w:rsidRPr="006E28E9">
        <w:rPr>
          <w:rFonts w:hint="cs"/>
          <w:rtl/>
        </w:rPr>
        <w:t xml:space="preserve">» إلى الانتشار سنة 1338 </w:t>
      </w:r>
      <w:r w:rsidRPr="006E28E9">
        <w:rPr>
          <w:rFonts w:hint="cs"/>
          <w:rtl/>
          <w:lang w:bidi="ar-SY"/>
        </w:rPr>
        <w:t>هـ.ش (1959م)</w:t>
      </w:r>
      <w:r w:rsidRPr="006E28E9">
        <w:rPr>
          <w:rFonts w:hint="cs"/>
          <w:rtl/>
        </w:rPr>
        <w:t xml:space="preserve"> وتحدثت بالتفصيل عن دوافع تقليد حرق الكتب [الذي سنه كسروي وأتباعه] ونشرت صورًا عن احتفالات حرق الكتب بحضور أتباع كسروي. كما قامت مجلة تحمل اسم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ام پ</w:t>
      </w:r>
      <w:r>
        <w:rPr>
          <w:rStyle w:val="Char9"/>
          <w:rFonts w:hint="cs"/>
          <w:sz w:val="20"/>
          <w:szCs w:val="20"/>
          <w:rtl/>
        </w:rPr>
        <w:t>ی</w:t>
      </w:r>
      <w:r w:rsidRPr="008C7124">
        <w:rPr>
          <w:rStyle w:val="Char9"/>
          <w:rFonts w:hint="cs"/>
          <w:sz w:val="20"/>
          <w:szCs w:val="20"/>
          <w:rtl/>
        </w:rPr>
        <w:t>روز</w:t>
      </w:r>
      <w:r>
        <w:rPr>
          <w:rStyle w:val="Char9"/>
          <w:rFonts w:hint="cs"/>
          <w:sz w:val="20"/>
          <w:szCs w:val="20"/>
          <w:rtl/>
        </w:rPr>
        <w:t>ی</w:t>
      </w:r>
      <w:r w:rsidRPr="006E28E9">
        <w:rPr>
          <w:rFonts w:hint="cs"/>
          <w:rtl/>
        </w:rPr>
        <w:t xml:space="preserve">» [رسالة النصر] بنشر مقال في عددها الصادر في شهر آذر من عام 1347 </w:t>
      </w:r>
      <w:r w:rsidRPr="006E28E9">
        <w:rPr>
          <w:rFonts w:hint="cs"/>
          <w:rtl/>
          <w:lang w:bidi="ar-SY"/>
        </w:rPr>
        <w:t xml:space="preserve">هـ.ش </w:t>
      </w:r>
      <w:r w:rsidRPr="006E28E9">
        <w:rPr>
          <w:rFonts w:hint="cs"/>
          <w:rtl/>
        </w:rPr>
        <w:t xml:space="preserve">(نوفمبر/تشرين الثاني، 1968م) يشرح وجهات نظر كسروي وآراءه ونقد بعض المعارضين. </w:t>
      </w:r>
    </w:p>
  </w:footnote>
  <w:footnote w:id="19">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لقد أوردنا جزءًا من تاريخ نزع الحجاب بالإضافة إلى نص 33 رسالة كُتبت حول لزوم الالتزام بالحجاب في الفترة الزمنية بين 1290 إلى 1348هـ.ش [1911 إلى 1969م] (تاريخ تأليف الشيخ مرتضى مطهري لكتابه: الحجاب)، في كتابنا «</w:t>
      </w:r>
      <w:r w:rsidRPr="008C7124">
        <w:rPr>
          <w:rStyle w:val="Char9"/>
          <w:rFonts w:hint="cs"/>
          <w:sz w:val="20"/>
          <w:szCs w:val="20"/>
          <w:rtl/>
        </w:rPr>
        <w:t>رسائل حجاب</w:t>
      </w:r>
      <w:r>
        <w:rPr>
          <w:rStyle w:val="Char9"/>
          <w:rFonts w:hint="cs"/>
          <w:sz w:val="20"/>
          <w:szCs w:val="20"/>
          <w:rtl/>
        </w:rPr>
        <w:t>یۀ</w:t>
      </w:r>
      <w:r w:rsidRPr="006E28E9">
        <w:rPr>
          <w:rFonts w:hint="cs"/>
          <w:rtl/>
        </w:rPr>
        <w:t xml:space="preserve">» في مجلدين (قم، دليل، 1380هـ.ش/2001م). ثم ألحقنا بالكتاب مقالاً عنوانه «الحجاب ومحاربة الحجاب في الأدبيات الفارسية». وسنشير في كتابنا الحاضر بالتناسب مع كل فصل من فصوله إلى كثير من الوقائع المتعلقة بموضوع الحجاب. </w:t>
      </w:r>
      <w:r w:rsidRPr="006E28E9">
        <w:rPr>
          <w:rtl/>
        </w:rPr>
        <w:t xml:space="preserve"> </w:t>
      </w:r>
    </w:p>
  </w:footnote>
  <w:footnote w:id="20">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حول كيفية تأليفه انظروا إلى الحوار الذي أُجري مع السيد واعظ زاده في مجلة ، العدد 43-33، ص 206. </w:t>
      </w:r>
      <w:r w:rsidRPr="006E28E9">
        <w:rPr>
          <w:rtl/>
        </w:rPr>
        <w:t xml:space="preserve"> </w:t>
      </w:r>
    </w:p>
  </w:footnote>
  <w:footnote w:id="21">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أي ثلاثينيات القرن الرابع عشر الهجري الشمسي الحالي حسب التقويم الإيراني وهو يوافق خمسينيات القرن العشرين الميلادي الماضي. </w:t>
      </w:r>
    </w:p>
  </w:footnote>
  <w:footnote w:id="22">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كان نشر بعض مقالاته في نقد الماركسية في سنة 1354 هـ.ش/1975م في صحيفة كيهان سببًا في إثارة غضب بعض الثوريين، وقيام شريعت بتكذيب إعطائه تلك المقالات إلى الصحيفة المذكورة. في حين أن بعض المتدينين سُـرَّ جدًّاً بنشر تلك المقالات بل قام بعضهم بإعادة طباعتها بصورة افست. (طبعها السيد خسروشاهي في مركز الدراسات الإسلامية، قم سنة 1355 هـ.ش/1976م).</w:t>
      </w:r>
    </w:p>
    <w:p w:rsidR="008C7124" w:rsidRPr="006E28E9" w:rsidRDefault="008C7124" w:rsidP="0092648A">
      <w:pPr>
        <w:pStyle w:val="FootnoteText"/>
      </w:pPr>
      <w:r w:rsidRPr="006E28E9">
        <w:rPr>
          <w:rFonts w:hint="cs"/>
          <w:rtl/>
        </w:rPr>
        <w:tab/>
        <w:t xml:space="preserve">وكتب آية الله خامنئي في الحاشية معلِّقًا على ما أشرنا إليه في المتن من تأثر الدكتور شريعتي في بعض جوانب فكره بالماركسية، قائلاً: لم يكن الدكتور شريعتي متأثّرًا أبدًا بالناحية الفلسفية للماركسية (أي المادية)، كل ما في الأمر أنه كان لديه نوع من الميل إلى الاشتراكية، لكن بالطبع لا يمكن القول إن فكره الاشتراكي كان يتطابق مع اشتراكية </w:t>
      </w:r>
      <w:r w:rsidRPr="006E28E9">
        <w:rPr>
          <w:rFonts w:hint="cs"/>
          <w:b/>
          <w:bCs/>
          <w:rtl/>
        </w:rPr>
        <w:t>الحوزة</w:t>
      </w:r>
      <w:r w:rsidRPr="006E28E9">
        <w:rPr>
          <w:rFonts w:hint="cs"/>
          <w:rtl/>
        </w:rPr>
        <w:t xml:space="preserve">الماركسية. </w:t>
      </w:r>
    </w:p>
  </w:footnote>
  <w:footnote w:id="2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في زمن الحركة الدستورية كان كثير من علماء الدين المعارضين لتلك الحركة يرون يد البهائية خلف حوادث المطالَبَة بالملكية الدستورية، ولذلك نهضوا إلى محاربتها. ومن جملة ذلك أنه جاء في لوح عن «عباس أفندي»: لو بقي الأمر بيد الميرزا فضل الله النوري والسيد علي اليزدي والميرزا حسن التبريزي، وبقوا يفتون بقتل الأنصار، فبالطبع ينبغي تأخير الأمر (انظروا: </w:t>
      </w:r>
      <w:r w:rsidRPr="008C7124">
        <w:rPr>
          <w:rStyle w:val="Char9"/>
          <w:rFonts w:hint="cs"/>
          <w:sz w:val="20"/>
          <w:szCs w:val="20"/>
          <w:rtl/>
        </w:rPr>
        <w:t>مائده آسمانى</w:t>
      </w:r>
      <w:r w:rsidRPr="006E28E9">
        <w:rPr>
          <w:rFonts w:hint="cs"/>
          <w:rtl/>
        </w:rPr>
        <w:t xml:space="preserve"> [المائدة السماوية]، عبد الحميد إشراق خاوري، ج 9، ص 32 - 33، نقلاً عن :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معاصر إ</w:t>
      </w:r>
      <w:r>
        <w:rPr>
          <w:rStyle w:val="Char9"/>
          <w:rFonts w:hint="cs"/>
          <w:sz w:val="20"/>
          <w:szCs w:val="20"/>
          <w:rtl/>
        </w:rPr>
        <w:t>ی</w:t>
      </w:r>
      <w:r w:rsidRPr="008C7124">
        <w:rPr>
          <w:rStyle w:val="Char9"/>
          <w:rFonts w:hint="cs"/>
          <w:sz w:val="20"/>
          <w:szCs w:val="20"/>
          <w:rtl/>
        </w:rPr>
        <w:t>ران</w:t>
      </w:r>
      <w:r w:rsidRPr="006E28E9">
        <w:rPr>
          <w:rFonts w:hint="cs"/>
          <w:rtl/>
        </w:rPr>
        <w:t xml:space="preserve">، العدد 18، مقال ميرزا حسن مجتهد التبريزي، ص 29). والمقصود من «التأخير» التأخير في انتصار البهائيين.   </w:t>
      </w:r>
    </w:p>
  </w:footnote>
  <w:footnote w:id="24">
    <w:p w:rsidR="008C7124" w:rsidRPr="006E28E9" w:rsidRDefault="008C7124" w:rsidP="0092648A">
      <w:pPr>
        <w:pStyle w:val="FootnoteText"/>
      </w:pPr>
      <w:r w:rsidRPr="006E28E9">
        <w:rPr>
          <w:rFonts w:ascii="Arabic11 BT" w:hAnsi="Arabic11 BT" w:cs="Arabic11 BT"/>
        </w:rPr>
        <w:footnoteRef/>
      </w:r>
      <w:r w:rsidRPr="006E28E9">
        <w:rPr>
          <w:rFonts w:hint="cs"/>
          <w:rtl/>
        </w:rPr>
        <w:t>. انظروا: شصت سال خدمت و مقاومت [ستون سنة من الخدمة والمقاومة]، ج 1، ص 139.</w:t>
      </w:r>
    </w:p>
  </w:footnote>
  <w:footnote w:id="25">
    <w:p w:rsidR="008C7124" w:rsidRPr="006E28E9" w:rsidRDefault="008C7124" w:rsidP="0092648A">
      <w:pPr>
        <w:pStyle w:val="FootnoteText"/>
      </w:pPr>
      <w:r w:rsidRPr="006E28E9">
        <w:rPr>
          <w:rFonts w:ascii="Arabic11 BT" w:hAnsi="Arabic11 BT" w:cs="Arabic11 BT"/>
        </w:rPr>
        <w:footnoteRef/>
      </w:r>
      <w:r w:rsidRPr="006E28E9">
        <w:rPr>
          <w:rFonts w:hint="cs"/>
          <w:rtl/>
        </w:rPr>
        <w:t>. أُلِّف كتابٌ سنة 1326هـ.ش/ 1947م عنوانه «</w:t>
      </w:r>
      <w:r w:rsidRPr="008C7124">
        <w:rPr>
          <w:rStyle w:val="Char9"/>
          <w:rFonts w:hint="cs"/>
          <w:sz w:val="20"/>
          <w:szCs w:val="20"/>
          <w:rtl/>
        </w:rPr>
        <w:t>ساخته</w:t>
      </w:r>
      <w:r w:rsidRPr="006E28E9">
        <w:rPr>
          <w:rFonts w:ascii="Times New Roman" w:hAnsi="Times New Roman" w:cs="Times New Roman" w:hint="cs"/>
          <w:b/>
          <w:bCs/>
          <w:rtl/>
        </w:rPr>
        <w:t>‌</w:t>
      </w:r>
      <w:r w:rsidRPr="008C7124">
        <w:rPr>
          <w:rStyle w:val="Char9"/>
          <w:rFonts w:hint="cs"/>
          <w:sz w:val="20"/>
          <w:szCs w:val="20"/>
          <w:rtl/>
        </w:rPr>
        <w:t>هاى بهائ</w:t>
      </w:r>
      <w:r>
        <w:rPr>
          <w:rStyle w:val="Char9"/>
          <w:rFonts w:hint="cs"/>
          <w:sz w:val="20"/>
          <w:szCs w:val="20"/>
          <w:rtl/>
        </w:rPr>
        <w:t>ی</w:t>
      </w:r>
      <w:r w:rsidRPr="008C7124">
        <w:rPr>
          <w:rStyle w:val="Char9"/>
          <w:rFonts w:hint="cs"/>
          <w:sz w:val="20"/>
          <w:szCs w:val="20"/>
          <w:rtl/>
        </w:rPr>
        <w:t>ت در صحنه د</w:t>
      </w:r>
      <w:r>
        <w:rPr>
          <w:rStyle w:val="Char9"/>
          <w:rFonts w:hint="cs"/>
          <w:sz w:val="20"/>
          <w:szCs w:val="20"/>
          <w:rtl/>
        </w:rPr>
        <w:t>ی</w:t>
      </w:r>
      <w:r w:rsidRPr="008C7124">
        <w:rPr>
          <w:rStyle w:val="Char9"/>
          <w:rFonts w:hint="cs"/>
          <w:sz w:val="20"/>
          <w:szCs w:val="20"/>
          <w:rtl/>
        </w:rPr>
        <w:t>ن و س</w:t>
      </w:r>
      <w:r>
        <w:rPr>
          <w:rStyle w:val="Char9"/>
          <w:rFonts w:hint="cs"/>
          <w:sz w:val="20"/>
          <w:szCs w:val="20"/>
          <w:rtl/>
        </w:rPr>
        <w:t>ی</w:t>
      </w:r>
      <w:r w:rsidRPr="008C7124">
        <w:rPr>
          <w:rStyle w:val="Char9"/>
          <w:rFonts w:hint="cs"/>
          <w:sz w:val="20"/>
          <w:szCs w:val="20"/>
          <w:rtl/>
        </w:rPr>
        <w:t>است</w:t>
      </w:r>
      <w:r w:rsidRPr="006E28E9">
        <w:rPr>
          <w:rFonts w:hint="cs"/>
          <w:rtl/>
        </w:rPr>
        <w:t xml:space="preserve">» [اختراعات البهائية في مسرح الدين والسياسة]، تأليف أنور ودود، دون ذكر مكان النشر واسم الناشر. تمَّ تقديم طلب إعادة طباعة هذا الكتاب سنة 1349 هـ.ش/ 1970م لكن لم يُسْمَح له بالطباعة، بسبب ما تضمنه من إشارة إلى أن عين الملك هويدا كان بهائيًّا. انظروا: </w:t>
      </w:r>
      <w:r w:rsidRPr="008C7124">
        <w:rPr>
          <w:rStyle w:val="Char9"/>
          <w:rFonts w:hint="cs"/>
          <w:sz w:val="20"/>
          <w:szCs w:val="20"/>
          <w:rtl/>
        </w:rPr>
        <w:t>سانسور در آ</w:t>
      </w:r>
      <w:r>
        <w:rPr>
          <w:rStyle w:val="Char9"/>
          <w:rFonts w:hint="cs"/>
          <w:sz w:val="20"/>
          <w:szCs w:val="20"/>
          <w:rtl/>
        </w:rPr>
        <w:t>یی</w:t>
      </w:r>
      <w:r w:rsidRPr="008C7124">
        <w:rPr>
          <w:rStyle w:val="Char9"/>
          <w:rFonts w:hint="cs"/>
          <w:sz w:val="20"/>
          <w:szCs w:val="20"/>
          <w:rtl/>
        </w:rPr>
        <w:t>نه</w:t>
      </w:r>
      <w:r w:rsidRPr="006E28E9">
        <w:rPr>
          <w:rFonts w:hint="cs"/>
          <w:rtl/>
        </w:rPr>
        <w:t xml:space="preserve"> [الرقابة في المرآة]، ص 474.</w:t>
      </w:r>
    </w:p>
  </w:footnote>
  <w:footnote w:id="26">
    <w:p w:rsidR="008C7124" w:rsidRPr="006E28E9" w:rsidRDefault="008C7124" w:rsidP="0092648A">
      <w:pPr>
        <w:pStyle w:val="FootnoteText"/>
      </w:pPr>
      <w:r w:rsidRPr="006E28E9">
        <w:rPr>
          <w:rFonts w:ascii="Arabic11 BT" w:hAnsi="Arabic11 BT" w:cs="Arabic11 BT"/>
        </w:rPr>
        <w:footnoteRef/>
      </w:r>
      <w:r w:rsidRPr="006E28E9">
        <w:rPr>
          <w:rFonts w:hint="cs"/>
          <w:rtl/>
        </w:rPr>
        <w:t>. يقابله الأربعينيات والخمسينيات من القرن العشرين الميلادي الماضي.</w:t>
      </w:r>
    </w:p>
  </w:footnote>
  <w:footnote w:id="27">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خاطرات آ</w:t>
      </w:r>
      <w:r>
        <w:rPr>
          <w:rStyle w:val="Char9"/>
          <w:rFonts w:hint="cs"/>
          <w:sz w:val="20"/>
          <w:szCs w:val="20"/>
          <w:rtl/>
        </w:rPr>
        <w:t>یۀ</w:t>
      </w:r>
      <w:r w:rsidRPr="008C7124">
        <w:rPr>
          <w:rStyle w:val="Char9"/>
          <w:rFonts w:hint="cs"/>
          <w:sz w:val="20"/>
          <w:szCs w:val="20"/>
          <w:rtl/>
        </w:rPr>
        <w:t xml:space="preserve"> الله ابو القاسم خزعل</w:t>
      </w:r>
      <w:r>
        <w:rPr>
          <w:rStyle w:val="Char9"/>
          <w:rFonts w:hint="cs"/>
          <w:sz w:val="20"/>
          <w:szCs w:val="20"/>
          <w:rtl/>
        </w:rPr>
        <w:t>ی</w:t>
      </w:r>
      <w:r w:rsidRPr="006E28E9">
        <w:rPr>
          <w:rFonts w:hint="cs"/>
          <w:rtl/>
        </w:rPr>
        <w:t xml:space="preserve"> [مذكرات آية الله أبو القاسم خزعلي]، ص 33.</w:t>
      </w:r>
    </w:p>
  </w:footnote>
  <w:footnote w:id="2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على سبيل المثال، يمكننا الإشارة إلى مدرسة نواب في مدينة مشهد التي حُوِّلَت إلى مدرسة دار المعلمين، وبعد شهريور 1320 هـ.ش/1941م، قام طلاب العلوم الدينية، بتوصية من المرحوم الميرزا مهدي الأصفهاني، بإخراج طلاب دار المعلمين من المدرسة واسترجعوا المدرسة لتكون مكانًا لدراسة العلوم الدينية. انظروا: </w:t>
      </w:r>
      <w:r w:rsidRPr="008C7124">
        <w:rPr>
          <w:rStyle w:val="Char9"/>
          <w:rFonts w:hint="cs"/>
          <w:sz w:val="20"/>
          <w:szCs w:val="20"/>
          <w:rtl/>
        </w:rPr>
        <w:t>پژوهشى درباره حد</w:t>
      </w:r>
      <w:r>
        <w:rPr>
          <w:rStyle w:val="Char9"/>
          <w:rFonts w:hint="cs"/>
          <w:sz w:val="20"/>
          <w:szCs w:val="20"/>
          <w:rtl/>
        </w:rPr>
        <w:t>ی</w:t>
      </w:r>
      <w:r w:rsidRPr="008C7124">
        <w:rPr>
          <w:rStyle w:val="Char9"/>
          <w:rFonts w:hint="cs"/>
          <w:sz w:val="20"/>
          <w:szCs w:val="20"/>
          <w:rtl/>
        </w:rPr>
        <w:t>ث و فقه</w:t>
      </w:r>
      <w:r w:rsidRPr="006E28E9">
        <w:rPr>
          <w:rFonts w:hint="cs"/>
          <w:rtl/>
        </w:rPr>
        <w:t xml:space="preserve"> [بحث حول الحديث والفقه] (حوار مع السيد كاظم مدير شانجي)، ص 15. كما أشار الإمام الخميني أيضًا في إحدى مذكراته التي كتبها سنة 1323 هـ.ش/ 1944م (</w:t>
      </w:r>
      <w:r w:rsidRPr="008C7124">
        <w:rPr>
          <w:rStyle w:val="Char9"/>
          <w:rFonts w:hint="cs"/>
          <w:sz w:val="20"/>
          <w:szCs w:val="20"/>
          <w:rtl/>
        </w:rPr>
        <w:t>صح</w:t>
      </w:r>
      <w:r>
        <w:rPr>
          <w:rStyle w:val="Char9"/>
          <w:rFonts w:hint="cs"/>
          <w:sz w:val="20"/>
          <w:szCs w:val="20"/>
          <w:rtl/>
        </w:rPr>
        <w:t>ی</w:t>
      </w:r>
      <w:r w:rsidRPr="008C7124">
        <w:rPr>
          <w:rStyle w:val="Char9"/>
          <w:rFonts w:hint="cs"/>
          <w:sz w:val="20"/>
          <w:szCs w:val="20"/>
          <w:rtl/>
        </w:rPr>
        <w:t>فه امام</w:t>
      </w:r>
      <w:r w:rsidRPr="006E28E9">
        <w:rPr>
          <w:rFonts w:hint="cs"/>
          <w:rtl/>
        </w:rPr>
        <w:t xml:space="preserve">، ج 1، ص 22) إلى وضع هذه المدارس. كان الأمر على ذلك النحو في مدينة «يزد» أيضًا. كتب السيد خاتم يزدي يقول: «وُضِعَت جميع مدارس العلوم الدينية في يزد، التي كانت في الواقع كثيرة العدد، تحت تصرف مديرية التربية والتعليم أو حُوِّلَت إلى إسطبلات للخيول التابعة للبلدية. وقام بعض تجار السوق بتحويل بعض هذه المدارس إلى مستودعات لبضائعهم، وتحوَّل بعضها إلى زوايا للدراويش». ثم تابع يقول: «بعد سقوط البهلوي الأول، أُعيدَت مدارس يزد مثل مدرسة خان بزرگ وخان كوچک والمصلى و چهار منار و ملا عبد الرحيم خاني بالتدريج إلى علماء الدين ووُضِعَت تحت تصرفهم». </w:t>
      </w:r>
      <w:r w:rsidRPr="008C7124">
        <w:rPr>
          <w:rStyle w:val="Char9"/>
          <w:rFonts w:hint="cs"/>
          <w:sz w:val="20"/>
          <w:szCs w:val="20"/>
          <w:rtl/>
        </w:rPr>
        <w:t>مذ</w:t>
      </w:r>
      <w:r>
        <w:rPr>
          <w:rStyle w:val="Char9"/>
          <w:rFonts w:hint="cs"/>
          <w:sz w:val="20"/>
          <w:szCs w:val="20"/>
          <w:rtl/>
        </w:rPr>
        <w:t>ک</w:t>
      </w:r>
      <w:r w:rsidRPr="008C7124">
        <w:rPr>
          <w:rStyle w:val="Char9"/>
          <w:rFonts w:hint="cs"/>
          <w:sz w:val="20"/>
          <w:szCs w:val="20"/>
          <w:rtl/>
        </w:rPr>
        <w:t>رات آ</w:t>
      </w:r>
      <w:r>
        <w:rPr>
          <w:rStyle w:val="Char9"/>
          <w:rFonts w:hint="cs"/>
          <w:sz w:val="20"/>
          <w:szCs w:val="20"/>
          <w:rtl/>
        </w:rPr>
        <w:t>یۀ</w:t>
      </w:r>
      <w:r w:rsidRPr="008C7124">
        <w:rPr>
          <w:rStyle w:val="Char9"/>
          <w:rFonts w:hint="cs"/>
          <w:sz w:val="20"/>
          <w:szCs w:val="20"/>
          <w:rtl/>
        </w:rPr>
        <w:t xml:space="preserve"> الله خاتم </w:t>
      </w:r>
      <w:r>
        <w:rPr>
          <w:rStyle w:val="Char9"/>
          <w:rFonts w:hint="cs"/>
          <w:sz w:val="20"/>
          <w:szCs w:val="20"/>
          <w:rtl/>
        </w:rPr>
        <w:t>ی</w:t>
      </w:r>
      <w:r w:rsidRPr="008C7124">
        <w:rPr>
          <w:rStyle w:val="Char9"/>
          <w:rFonts w:hint="cs"/>
          <w:sz w:val="20"/>
          <w:szCs w:val="20"/>
          <w:rtl/>
        </w:rPr>
        <w:t>زد</w:t>
      </w:r>
      <w:r>
        <w:rPr>
          <w:rStyle w:val="Char9"/>
          <w:rFonts w:hint="cs"/>
          <w:sz w:val="20"/>
          <w:szCs w:val="20"/>
          <w:rtl/>
        </w:rPr>
        <w:t>ی</w:t>
      </w:r>
      <w:r w:rsidRPr="006E28E9">
        <w:rPr>
          <w:rFonts w:hint="cs"/>
          <w:rtl/>
        </w:rPr>
        <w:t>، ص 18 - 19. وفي مدينة خرم آباد أيضًا استعاد عدد من علماء الدين البارزين في المدينة بعد شهريور 1320 هـ.ش/1941م مدرسةً لطلاب العلوم الدينية كانت قد تحولت في عهد رضا شاه إلى مستودع للغلات والحبوب، وقام بترميمها واستخدموها من جديد لتربية وتعليم طلاب العلوم الدينية. (</w:t>
      </w:r>
      <w:r w:rsidRPr="008C7124">
        <w:rPr>
          <w:rStyle w:val="Char9"/>
          <w:rFonts w:hint="cs"/>
          <w:sz w:val="20"/>
          <w:szCs w:val="20"/>
          <w:rtl/>
        </w:rPr>
        <w:t>خاطرات آ</w:t>
      </w:r>
      <w:r>
        <w:rPr>
          <w:rStyle w:val="Char9"/>
          <w:rFonts w:hint="cs"/>
          <w:sz w:val="20"/>
          <w:szCs w:val="20"/>
          <w:rtl/>
        </w:rPr>
        <w:t>یۀ</w:t>
      </w:r>
      <w:r w:rsidRPr="008C7124">
        <w:rPr>
          <w:rStyle w:val="Char9"/>
          <w:rFonts w:hint="cs"/>
          <w:sz w:val="20"/>
          <w:szCs w:val="20"/>
          <w:rtl/>
        </w:rPr>
        <w:t xml:space="preserve"> الله طاهرى خرم آبادى</w:t>
      </w:r>
      <w:r w:rsidRPr="006E28E9">
        <w:rPr>
          <w:rFonts w:hint="cs"/>
          <w:rtl/>
        </w:rPr>
        <w:t>، ج 1، ص 25).</w:t>
      </w:r>
    </w:p>
    <w:p w:rsidR="008C7124" w:rsidRPr="006E28E9" w:rsidRDefault="008C7124" w:rsidP="0092648A">
      <w:pPr>
        <w:pStyle w:val="FootnoteText"/>
        <w:rPr>
          <w:spacing w:val="-2"/>
        </w:rPr>
      </w:pPr>
      <w:r w:rsidRPr="006E28E9">
        <w:rPr>
          <w:rFonts w:hint="cs"/>
          <w:spacing w:val="-2"/>
          <w:rtl/>
        </w:rPr>
        <w:tab/>
        <w:t>في مدينة ساري أيضًا بقيت إحدى المدارس العلمية التي تحوَّلَت في عهد رضا خان إلى مدرسة للبنات على حالها حتى سنة 1326 هـ.ش/1947م. وعندما سمع نواب صفوي بالخبر ذهب برفقة ثلاثين شخصًا إلى مدينة ساري ودخل تلك المدرسة وألقى فيها كلمةً، وفي البداية وعد مسؤولو المدينة بالتعاون معه في هذا الموضوع ولكن بعد ذلك بقليل اعتُقِل نوّاب وسُجِن مدة إحدى عشر يومًا، ثم أطلقوا سراحه إلى أن يحين موعد محاكمته، لكنه غادر المدينة وذهب إلى طهران. بعد ذلك بقي الملف على حاله إلى أن صدر الحكم بسجنه مدة سنتين بتهمة الدخول بالقوة إلى مدرسة ابتدائية. وبهذه الحجة والسابقة سُجِنَ نوّاب في عهد حكومة مصدِّق قرابة عشرين شهرًا. انظروا: «</w:t>
      </w:r>
      <w:r w:rsidRPr="008C7124">
        <w:rPr>
          <w:rStyle w:val="Char9"/>
          <w:rFonts w:hint="cs"/>
          <w:spacing w:val="-2"/>
          <w:sz w:val="20"/>
          <w:szCs w:val="20"/>
          <w:rtl/>
        </w:rPr>
        <w:t>فدائ</w:t>
      </w:r>
      <w:r>
        <w:rPr>
          <w:rStyle w:val="Char9"/>
          <w:rFonts w:hint="cs"/>
          <w:spacing w:val="-2"/>
          <w:sz w:val="20"/>
          <w:szCs w:val="20"/>
          <w:rtl/>
        </w:rPr>
        <w:t>ی</w:t>
      </w:r>
      <w:r w:rsidRPr="008C7124">
        <w:rPr>
          <w:rStyle w:val="Char9"/>
          <w:rFonts w:hint="cs"/>
          <w:spacing w:val="-2"/>
          <w:sz w:val="20"/>
          <w:szCs w:val="20"/>
          <w:rtl/>
        </w:rPr>
        <w:t>ان اسلام، تار</w:t>
      </w:r>
      <w:r>
        <w:rPr>
          <w:rStyle w:val="Char9"/>
          <w:rFonts w:hint="cs"/>
          <w:spacing w:val="-2"/>
          <w:sz w:val="20"/>
          <w:szCs w:val="20"/>
          <w:rtl/>
        </w:rPr>
        <w:t>ی</w:t>
      </w:r>
      <w:r w:rsidRPr="008C7124">
        <w:rPr>
          <w:rStyle w:val="Char9"/>
          <w:rFonts w:hint="cs"/>
          <w:spacing w:val="-2"/>
          <w:sz w:val="20"/>
          <w:szCs w:val="20"/>
          <w:rtl/>
        </w:rPr>
        <w:t>خ، عمل</w:t>
      </w:r>
      <w:r>
        <w:rPr>
          <w:rStyle w:val="Char9"/>
          <w:rFonts w:hint="cs"/>
          <w:spacing w:val="-2"/>
          <w:sz w:val="20"/>
          <w:szCs w:val="20"/>
          <w:rtl/>
        </w:rPr>
        <w:t>ک</w:t>
      </w:r>
      <w:r w:rsidRPr="008C7124">
        <w:rPr>
          <w:rStyle w:val="Char9"/>
          <w:rFonts w:hint="cs"/>
          <w:spacing w:val="-2"/>
          <w:sz w:val="20"/>
          <w:szCs w:val="20"/>
          <w:rtl/>
        </w:rPr>
        <w:t>رد، اند</w:t>
      </w:r>
      <w:r>
        <w:rPr>
          <w:rStyle w:val="Char9"/>
          <w:rFonts w:hint="cs"/>
          <w:spacing w:val="-2"/>
          <w:sz w:val="20"/>
          <w:szCs w:val="20"/>
          <w:rtl/>
        </w:rPr>
        <w:t>ی</w:t>
      </w:r>
      <w:r w:rsidRPr="008C7124">
        <w:rPr>
          <w:rStyle w:val="Char9"/>
          <w:rFonts w:hint="cs"/>
          <w:spacing w:val="-2"/>
          <w:sz w:val="20"/>
          <w:szCs w:val="20"/>
          <w:rtl/>
        </w:rPr>
        <w:t>شه</w:t>
      </w:r>
      <w:r w:rsidRPr="006E28E9">
        <w:rPr>
          <w:rFonts w:hint="cs"/>
          <w:spacing w:val="-2"/>
          <w:rtl/>
        </w:rPr>
        <w:t>» [منظمة فدائيان إسلام، تاريخها وأعمالها وفكرها]، ص 66 - 68.</w:t>
      </w:r>
    </w:p>
  </w:footnote>
  <w:footnote w:id="29">
    <w:p w:rsidR="008C7124" w:rsidRPr="006E28E9" w:rsidRDefault="008C7124" w:rsidP="0092648A">
      <w:pPr>
        <w:pStyle w:val="FootnoteText"/>
      </w:pPr>
      <w:r w:rsidRPr="006E28E9">
        <w:rPr>
          <w:rFonts w:ascii="Arabic11 BT" w:hAnsi="Arabic11 BT" w:cs="Arabic11 BT"/>
        </w:rPr>
        <w:footnoteRef/>
      </w:r>
      <w:r w:rsidRPr="006E28E9">
        <w:rPr>
          <w:rFonts w:hint="cs"/>
          <w:rtl/>
        </w:rPr>
        <w:t>. اتخذ تأييد الألمان أحيانًا - الذي تم الترويج له في أواخر عهد رضا شاه في إيران وانتقل من الدولة العثمانية إلى إيران - صورةً دينيةً، وكأن الألمان أصبحوا أنصار الإسلام والمدافعين عنه! وقد أدى ذلك إلى قيام بعض المساعي في طهران لتصوير أن الإسلام يتفق على نحو من الأنحاء مع أهداف النازيين. مما حدى بأحدهم إلى كتابة كُتَيِّب دون بيان هوية مؤلفه ولا اسم الناشر بعنوان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 ومرام نازى</w:t>
      </w:r>
      <w:r w:rsidRPr="006E28E9">
        <w:rPr>
          <w:rFonts w:hint="cs"/>
          <w:rtl/>
        </w:rPr>
        <w:t>» [دين الإسلام وهدف النازيين]، ويبدو أنه طُبِع في طهران سنة 1324 هـ.ش/ 1963م، في ثلاثين صفحة وحاول المقارنة بين وجهات النظر التي تطرحها أهداف النازيين وعقائد الإسلام وشريعته. واستنتج الكاتب قائلاً: النتيجة هي أن هدف النازيين يتعارض من كل ناحية من النواحي مع الإسلام بل هو محاربة لهذه الشريعة السمحاء ويسعى خلف ستائر غليظة من الدعايات الكاذبة الصادرة من قلب أسود ولسان حلو إلى القضاء على هذا الدين المقدس من خلال عمليّات هدم وتخريب تُمَارس بكل قوة.</w:t>
      </w:r>
    </w:p>
  </w:footnote>
  <w:footnote w:id="30">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يقصد العشرينيات والثلاثينيات من القرن الرابع عشر الهجري الشمسي الحالي، حسب التقويم المعمول به في إيران، ويوافق الأربعينيات والخمسينيات من القرن الميلادي العشرين الماضي. (المُتَرْجِمُ) </w:t>
      </w:r>
    </w:p>
  </w:footnote>
  <w:footnote w:id="31">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6E28E9">
        <w:rPr>
          <w:rtl/>
        </w:rPr>
        <w:t>انظروا إلى مقال</w:t>
      </w:r>
      <w:r w:rsidRPr="006E28E9">
        <w:rPr>
          <w:rFonts w:hint="cs"/>
          <w:rtl/>
        </w:rPr>
        <w:t>ي</w:t>
      </w:r>
      <w:r w:rsidRPr="006E28E9">
        <w:rPr>
          <w:rtl/>
        </w:rPr>
        <w:t xml:space="preserve"> بعنوان «تاريخ مسألة الاجتهاد والتقليد وتأثيرها في الفكر السياسي للشيعة في العهد الصفوي» في كتاب: </w:t>
      </w:r>
      <w:r>
        <w:rPr>
          <w:rStyle w:val="Char9"/>
          <w:sz w:val="20"/>
          <w:szCs w:val="20"/>
          <w:rtl/>
        </w:rPr>
        <w:t>ک</w:t>
      </w:r>
      <w:r w:rsidRPr="008C7124">
        <w:rPr>
          <w:rStyle w:val="Char9"/>
          <w:sz w:val="20"/>
          <w:szCs w:val="20"/>
          <w:rtl/>
        </w:rPr>
        <w:t>اوشها</w:t>
      </w:r>
      <w:r>
        <w:rPr>
          <w:rStyle w:val="Char9"/>
          <w:sz w:val="20"/>
          <w:szCs w:val="20"/>
          <w:rtl/>
        </w:rPr>
        <w:t>ی</w:t>
      </w:r>
      <w:r w:rsidRPr="008C7124">
        <w:rPr>
          <w:rStyle w:val="Char9"/>
          <w:sz w:val="20"/>
          <w:szCs w:val="20"/>
          <w:rtl/>
        </w:rPr>
        <w:t xml:space="preserve"> تازه در باب روزگار صفو</w:t>
      </w:r>
      <w:r>
        <w:rPr>
          <w:rStyle w:val="Char9"/>
          <w:sz w:val="20"/>
          <w:szCs w:val="20"/>
          <w:rtl/>
        </w:rPr>
        <w:t>ی</w:t>
      </w:r>
      <w:r w:rsidRPr="006E28E9">
        <w:rPr>
          <w:rtl/>
        </w:rPr>
        <w:t xml:space="preserve"> [تأملات جديدة في باب العهد الصفوي].</w:t>
      </w:r>
    </w:p>
  </w:footnote>
  <w:footnote w:id="32">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أي عهد حكم الملوك من آل قاجار الذي استمر قرابة قرن ونصف في الفترة بين: 1796 - 1924م. </w:t>
      </w:r>
      <w:r w:rsidRPr="006E28E9">
        <w:rPr>
          <w:rFonts w:hint="cs"/>
          <w:rtl/>
          <w:lang w:bidi="ar-SY"/>
        </w:rPr>
        <w:t>(المُتَرْجِمُ)</w:t>
      </w:r>
    </w:p>
  </w:footnote>
  <w:footnote w:id="3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sz w:val="20"/>
          <w:szCs w:val="20"/>
          <w:rtl/>
        </w:rPr>
        <w:t>د</w:t>
      </w:r>
      <w:r>
        <w:rPr>
          <w:rStyle w:val="Char9"/>
          <w:sz w:val="20"/>
          <w:szCs w:val="20"/>
          <w:rtl/>
        </w:rPr>
        <w:t>ی</w:t>
      </w:r>
      <w:r w:rsidRPr="008C7124">
        <w:rPr>
          <w:rStyle w:val="Char9"/>
          <w:sz w:val="20"/>
          <w:szCs w:val="20"/>
          <w:rtl/>
        </w:rPr>
        <w:t>ن وشؤون</w:t>
      </w:r>
      <w:r w:rsidRPr="006E28E9">
        <w:rPr>
          <w:rtl/>
        </w:rPr>
        <w:t>، ص 68، وقال الأمر نفسه في كتاب «</w:t>
      </w:r>
      <w:r w:rsidRPr="006E28E9">
        <w:rPr>
          <w:b/>
          <w:bCs/>
          <w:rtl/>
        </w:rPr>
        <w:t>مسلك الإمام في سلامة الإسلام</w:t>
      </w:r>
      <w:r w:rsidRPr="006E28E9">
        <w:rPr>
          <w:rtl/>
        </w:rPr>
        <w:t xml:space="preserve">» (طبع 1328هـ.ق/ </w:t>
      </w:r>
      <w:r w:rsidRPr="006E28E9">
        <w:rPr>
          <w:rFonts w:hint="cs"/>
          <w:rtl/>
        </w:rPr>
        <w:t>1949</w:t>
      </w:r>
      <w:r w:rsidRPr="006E28E9">
        <w:rPr>
          <w:rtl/>
        </w:rPr>
        <w:t xml:space="preserve">م. </w:t>
      </w:r>
      <w:r w:rsidRPr="006E28E9">
        <w:rPr>
          <w:rFonts w:hint="cs"/>
          <w:rtl/>
        </w:rPr>
        <w:t>إسطنبول</w:t>
      </w:r>
      <w:r w:rsidRPr="006E28E9">
        <w:rPr>
          <w:rtl/>
        </w:rPr>
        <w:t>، مطبعة شمس)</w:t>
      </w:r>
      <w:r w:rsidRPr="006E28E9">
        <w:rPr>
          <w:rFonts w:hint="cs"/>
          <w:rtl/>
        </w:rPr>
        <w:t>،</w:t>
      </w:r>
      <w:r w:rsidRPr="006E28E9">
        <w:rPr>
          <w:rtl/>
        </w:rPr>
        <w:t xml:space="preserve"> ص 39</w:t>
      </w:r>
      <w:r w:rsidRPr="006E28E9">
        <w:rPr>
          <w:rFonts w:hint="cs"/>
          <w:rtl/>
        </w:rPr>
        <w:t xml:space="preserve"> </w:t>
      </w:r>
      <w:r w:rsidRPr="006E28E9">
        <w:rPr>
          <w:rtl/>
        </w:rPr>
        <w:t>-</w:t>
      </w:r>
      <w:r w:rsidRPr="006E28E9">
        <w:rPr>
          <w:rFonts w:hint="cs"/>
          <w:rtl/>
        </w:rPr>
        <w:t xml:space="preserve"> </w:t>
      </w:r>
      <w:r w:rsidRPr="006E28E9">
        <w:rPr>
          <w:rtl/>
        </w:rPr>
        <w:t>40، كان كتاب «</w:t>
      </w:r>
      <w:r w:rsidRPr="008C7124">
        <w:rPr>
          <w:rStyle w:val="Char9"/>
          <w:sz w:val="20"/>
          <w:szCs w:val="20"/>
          <w:rtl/>
        </w:rPr>
        <w:t>د</w:t>
      </w:r>
      <w:r>
        <w:rPr>
          <w:rStyle w:val="Char9"/>
          <w:sz w:val="20"/>
          <w:szCs w:val="20"/>
          <w:rtl/>
        </w:rPr>
        <w:t>ی</w:t>
      </w:r>
      <w:r w:rsidRPr="008C7124">
        <w:rPr>
          <w:rStyle w:val="Char9"/>
          <w:sz w:val="20"/>
          <w:szCs w:val="20"/>
          <w:rtl/>
        </w:rPr>
        <w:t>ن وشؤون</w:t>
      </w:r>
      <w:r w:rsidRPr="006E28E9">
        <w:rPr>
          <w:rtl/>
        </w:rPr>
        <w:t xml:space="preserve">» ينشر سنة 1304هـ.ش </w:t>
      </w:r>
      <w:r w:rsidRPr="006E28E9">
        <w:rPr>
          <w:rFonts w:hint="cs"/>
          <w:rtl/>
        </w:rPr>
        <w:t xml:space="preserve">[1925م] </w:t>
      </w:r>
      <w:r w:rsidRPr="006E28E9">
        <w:rPr>
          <w:rtl/>
        </w:rPr>
        <w:t>بصورة حاشية سفلية في مجلة «</w:t>
      </w:r>
      <w:r w:rsidRPr="008C7124">
        <w:rPr>
          <w:rStyle w:val="Char9"/>
          <w:sz w:val="20"/>
          <w:szCs w:val="20"/>
          <w:rtl/>
        </w:rPr>
        <w:t>نص</w:t>
      </w:r>
      <w:r>
        <w:rPr>
          <w:rStyle w:val="Char9"/>
          <w:sz w:val="20"/>
          <w:szCs w:val="20"/>
          <w:rtl/>
        </w:rPr>
        <w:t>ی</w:t>
      </w:r>
      <w:r w:rsidRPr="008C7124">
        <w:rPr>
          <w:rStyle w:val="Char9"/>
          <w:sz w:val="20"/>
          <w:szCs w:val="20"/>
          <w:rtl/>
        </w:rPr>
        <w:t>حت</w:t>
      </w:r>
      <w:r w:rsidRPr="006E28E9">
        <w:rPr>
          <w:rtl/>
        </w:rPr>
        <w:t>» التي كان يديرها عالم الدين القزويني المتطر</w:t>
      </w:r>
      <w:r w:rsidRPr="006E28E9">
        <w:rPr>
          <w:rFonts w:hint="cs"/>
          <w:rtl/>
        </w:rPr>
        <w:t>ِّ</w:t>
      </w:r>
      <w:r w:rsidRPr="006E28E9">
        <w:rPr>
          <w:rtl/>
        </w:rPr>
        <w:t xml:space="preserve">ف «واعظ القزويني»، وتم إيقافها في السنة ذاتها، </w:t>
      </w:r>
      <w:r w:rsidRPr="006E28E9">
        <w:rPr>
          <w:rFonts w:hint="cs"/>
          <w:rtl/>
        </w:rPr>
        <w:t xml:space="preserve">حيث </w:t>
      </w:r>
      <w:r w:rsidRPr="006E28E9">
        <w:rPr>
          <w:rtl/>
        </w:rPr>
        <w:t>اعترض علماء الدين في قزوين على نشر هذا الكتاب لما يتضمنه من هجوم على رجال الدين وعلى بعض الشعائر والطقوس المذهبية.</w:t>
      </w:r>
    </w:p>
  </w:footnote>
  <w:footnote w:id="34">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چالشها و تعاملات إ</w:t>
      </w:r>
      <w:r>
        <w:rPr>
          <w:rStyle w:val="Char9"/>
          <w:rFonts w:hint="cs"/>
          <w:sz w:val="20"/>
          <w:szCs w:val="20"/>
          <w:rtl/>
        </w:rPr>
        <w:t>ی</w:t>
      </w:r>
      <w:r w:rsidRPr="008C7124">
        <w:rPr>
          <w:rStyle w:val="Char9"/>
          <w:rFonts w:hint="cs"/>
          <w:sz w:val="20"/>
          <w:szCs w:val="20"/>
          <w:rtl/>
        </w:rPr>
        <w:t>ران وعراق در ن</w:t>
      </w:r>
      <w:r>
        <w:rPr>
          <w:rStyle w:val="Char9"/>
          <w:rFonts w:hint="cs"/>
          <w:sz w:val="20"/>
          <w:szCs w:val="20"/>
          <w:rtl/>
        </w:rPr>
        <w:t>ی</w:t>
      </w:r>
      <w:r w:rsidRPr="008C7124">
        <w:rPr>
          <w:rStyle w:val="Char9"/>
          <w:rFonts w:hint="cs"/>
          <w:sz w:val="20"/>
          <w:szCs w:val="20"/>
          <w:rtl/>
        </w:rPr>
        <w:t>مه نخست سده ب</w:t>
      </w:r>
      <w:r>
        <w:rPr>
          <w:rStyle w:val="Char9"/>
          <w:rFonts w:hint="cs"/>
          <w:sz w:val="20"/>
          <w:szCs w:val="20"/>
          <w:rtl/>
        </w:rPr>
        <w:t>ی</w:t>
      </w:r>
      <w:r w:rsidRPr="008C7124">
        <w:rPr>
          <w:rStyle w:val="Char9"/>
          <w:rFonts w:hint="cs"/>
          <w:sz w:val="20"/>
          <w:szCs w:val="20"/>
          <w:rtl/>
        </w:rPr>
        <w:t>ستم</w:t>
      </w:r>
      <w:r w:rsidRPr="006E28E9">
        <w:rPr>
          <w:rFonts w:hint="cs"/>
          <w:rtl/>
        </w:rPr>
        <w:t xml:space="preserve"> [حوارات </w:t>
      </w:r>
      <w:r w:rsidRPr="006E28E9">
        <w:rPr>
          <w:rtl/>
        </w:rPr>
        <w:t>وعلاقات إيران والعراق في النصف الأول من القرن العشرين</w:t>
      </w:r>
      <w:r w:rsidRPr="006E28E9">
        <w:rPr>
          <w:rFonts w:hint="cs"/>
          <w:rtl/>
        </w:rPr>
        <w:t>]</w:t>
      </w:r>
      <w:r w:rsidRPr="006E28E9">
        <w:rPr>
          <w:rtl/>
        </w:rPr>
        <w:t xml:space="preserve">، </w:t>
      </w:r>
      <w:r w:rsidRPr="006E28E9">
        <w:rPr>
          <w:rFonts w:hint="cs"/>
          <w:rtl/>
        </w:rPr>
        <w:t>ص 174.</w:t>
      </w:r>
    </w:p>
  </w:footnote>
  <w:footnote w:id="35">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مجلة</w:t>
      </w:r>
      <w:r w:rsidRPr="008C7124">
        <w:rPr>
          <w:rStyle w:val="Char9"/>
          <w:rFonts w:hint="cs"/>
          <w:sz w:val="20"/>
          <w:szCs w:val="20"/>
          <w:rtl/>
        </w:rPr>
        <w:t xml:space="preserve"> هما</w:t>
      </w:r>
      <w:r>
        <w:rPr>
          <w:rStyle w:val="Char9"/>
          <w:rFonts w:hint="cs"/>
          <w:sz w:val="20"/>
          <w:szCs w:val="20"/>
          <w:rtl/>
        </w:rPr>
        <w:t>ی</w:t>
      </w:r>
      <w:r w:rsidRPr="008C7124">
        <w:rPr>
          <w:rStyle w:val="Char9"/>
          <w:rFonts w:hint="cs"/>
          <w:sz w:val="20"/>
          <w:szCs w:val="20"/>
          <w:rtl/>
        </w:rPr>
        <w:t>ون</w:t>
      </w:r>
      <w:r w:rsidRPr="006E28E9">
        <w:rPr>
          <w:rFonts w:hint="cs"/>
          <w:rtl/>
        </w:rPr>
        <w:t xml:space="preserve">، العدد2، شهر آبان 1313هـ.ش / 1934م، ص 1-2، العدد 3، ص 7-8 أهمية هذا التقرير تكمن في النظرة التي كانت موجودة في ذلك الزمن، أي في زمن حياة المرحوم الحائري </w:t>
      </w:r>
      <w:r w:rsidRPr="006E28E9">
        <w:rPr>
          <w:rFonts w:ascii="Times New Roman" w:hAnsi="Times New Roman" w:cs="Times New Roman" w:hint="cs"/>
          <w:rtl/>
        </w:rPr>
        <w:t>–</w:t>
      </w:r>
      <w:r w:rsidRPr="006E28E9">
        <w:rPr>
          <w:rFonts w:hint="cs"/>
          <w:rtl/>
        </w:rPr>
        <w:t xml:space="preserve"> والذي توفي بعد ذلك بسنتين أي سنة 1315هـ.ش/ 1936م. </w:t>
      </w:r>
    </w:p>
  </w:footnote>
  <w:footnote w:id="36">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عندما اجتمع علماء النجف ليتشاوروا حول طريقة التعامل مع رضا خان، قال السيد أبو الحسن [الأصفهاني]: </w:t>
      </w:r>
      <w:r w:rsidRPr="006E28E9">
        <w:rPr>
          <w:rFonts w:hint="cs"/>
          <w:rtl/>
          <w:lang w:bidi="ar-SY"/>
        </w:rPr>
        <w:t>«</w:t>
      </w:r>
      <w:r w:rsidRPr="006E28E9">
        <w:rPr>
          <w:rFonts w:hint="cs"/>
          <w:rtl/>
        </w:rPr>
        <w:t>علينا أن نرسل أفرادًا إلى العشائر والقبائل في إيران ونحرضهم على الثورة ضد رضا خان لنقضي على الرجل بهذه الطريقة</w:t>
      </w:r>
      <w:r w:rsidRPr="006E28E9">
        <w:rPr>
          <w:rFonts w:hint="cs"/>
          <w:rtl/>
          <w:lang w:bidi="ar-SY"/>
        </w:rPr>
        <w:t>». لكن المرحوم النائينيي قال: «علينا أن نستميل رضا خان وأن نتعامل معه بلين كي نخفف من عنفه وجبروته فليس لدينا من طريق سوى هذا»</w:t>
      </w:r>
      <w:r w:rsidRPr="006E28E9">
        <w:rPr>
          <w:rFonts w:hint="cs"/>
          <w:rtl/>
        </w:rPr>
        <w:t xml:space="preserve">. انظُر إلى الحوار مع السيد واعظ زاده (نقلاً عن آية الله بروجردي)، </w:t>
      </w:r>
      <w:r w:rsidRPr="006E28E9">
        <w:rPr>
          <w:rFonts w:hint="cs"/>
          <w:b/>
          <w:bCs/>
          <w:rtl/>
        </w:rPr>
        <w:t>مجلة الحوزة</w:t>
      </w:r>
      <w:r w:rsidRPr="006E28E9">
        <w:rPr>
          <w:rFonts w:hint="cs"/>
          <w:rtl/>
        </w:rPr>
        <w:t xml:space="preserve">، السنة 7، العدد 5، العدد المتسلسل 41، ص 39. وانظر: حوار مجلة الحوزة مع السيد سلطاني، </w:t>
      </w:r>
      <w:r w:rsidRPr="006E28E9">
        <w:rPr>
          <w:rFonts w:hint="cs"/>
          <w:b/>
          <w:bCs/>
          <w:rtl/>
        </w:rPr>
        <w:t>مجلة الحوزة</w:t>
      </w:r>
      <w:r w:rsidRPr="006E28E9">
        <w:rPr>
          <w:rFonts w:hint="cs"/>
          <w:rtl/>
        </w:rPr>
        <w:t xml:space="preserve">، العدد 43، ص 23. من الجدير بالذكر أنه في السنوات التي أجبر فيها علماء الدين في إيران على خلع لباسهم الديني بضغط من حكومة رضا خان، كان المرحوم آية الله الحاج السيد أبو الحسن الاصفهاني والمرحوم الشيخ عبد الكريم الحائري يصدران إجازات الاجتهاد وإجازات أخذ سهم الإمام وغيرها، وكان ذلك وسيلة كي تمتنع الدولة عن خلع لباس هؤلاء الأشخاص. انظر على سبيل المثال: </w:t>
      </w:r>
      <w:r w:rsidRPr="008C7124">
        <w:rPr>
          <w:rStyle w:val="Char9"/>
          <w:rFonts w:hint="cs"/>
          <w:sz w:val="20"/>
          <w:szCs w:val="20"/>
          <w:rtl/>
        </w:rPr>
        <w:t>س</w:t>
      </w:r>
      <w:r>
        <w:rPr>
          <w:rStyle w:val="Char9"/>
          <w:rFonts w:hint="cs"/>
          <w:sz w:val="20"/>
          <w:szCs w:val="20"/>
          <w:rtl/>
        </w:rPr>
        <w:t>ی</w:t>
      </w:r>
      <w:r w:rsidRPr="008C7124">
        <w:rPr>
          <w:rStyle w:val="Char9"/>
          <w:rFonts w:hint="cs"/>
          <w:sz w:val="20"/>
          <w:szCs w:val="20"/>
          <w:rtl/>
        </w:rPr>
        <w:t>اس</w:t>
      </w:r>
      <w:r>
        <w:rPr>
          <w:rStyle w:val="Char9"/>
          <w:rFonts w:hint="cs"/>
          <w:sz w:val="20"/>
          <w:szCs w:val="20"/>
          <w:rtl/>
        </w:rPr>
        <w:t>ۀ</w:t>
      </w:r>
      <w:r w:rsidRPr="008C7124">
        <w:rPr>
          <w:rStyle w:val="Char9"/>
          <w:rFonts w:hint="cs"/>
          <w:sz w:val="20"/>
          <w:szCs w:val="20"/>
          <w:rtl/>
        </w:rPr>
        <w:t xml:space="preserve"> اللباس</w:t>
      </w:r>
      <w:r w:rsidRPr="006E28E9">
        <w:rPr>
          <w:rFonts w:hint="cs"/>
          <w:rtl/>
        </w:rPr>
        <w:t xml:space="preserve">، ص 14 و 98. وحول سيرة أبو الحسن ومواقفه السياسية في فترة حكم رضا شاه، يُنْظَر: </w:t>
      </w:r>
      <w:r w:rsidRPr="008C7124">
        <w:rPr>
          <w:rStyle w:val="Char9"/>
          <w:rFonts w:hint="cs"/>
          <w:sz w:val="20"/>
          <w:szCs w:val="20"/>
          <w:rtl/>
        </w:rPr>
        <w:t>مرجع</w:t>
      </w:r>
      <w:r>
        <w:rPr>
          <w:rStyle w:val="Char9"/>
          <w:rFonts w:hint="cs"/>
          <w:sz w:val="20"/>
          <w:szCs w:val="20"/>
          <w:rtl/>
        </w:rPr>
        <w:t>ی</w:t>
      </w:r>
      <w:r w:rsidRPr="008C7124">
        <w:rPr>
          <w:rStyle w:val="Char9"/>
          <w:rFonts w:hint="cs"/>
          <w:sz w:val="20"/>
          <w:szCs w:val="20"/>
          <w:rtl/>
        </w:rPr>
        <w:t>ت در عرصه اجتماع وس</w:t>
      </w:r>
      <w:r>
        <w:rPr>
          <w:rStyle w:val="Char9"/>
          <w:rFonts w:hint="cs"/>
          <w:sz w:val="20"/>
          <w:szCs w:val="20"/>
          <w:rtl/>
        </w:rPr>
        <w:t>ی</w:t>
      </w:r>
      <w:r w:rsidRPr="008C7124">
        <w:rPr>
          <w:rStyle w:val="Char9"/>
          <w:rFonts w:hint="cs"/>
          <w:sz w:val="20"/>
          <w:szCs w:val="20"/>
          <w:rtl/>
        </w:rPr>
        <w:t>است</w:t>
      </w:r>
      <w:r w:rsidRPr="006E28E9">
        <w:rPr>
          <w:rFonts w:hint="cs"/>
          <w:rtl/>
        </w:rPr>
        <w:t xml:space="preserve"> [المرجعية في ساحة المجتمع والسياسة]، ص 97 - 113. </w:t>
      </w:r>
    </w:p>
  </w:footnote>
  <w:footnote w:id="37">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كانت هذه المجلة تابعة لمحسن الفقيه الشيرازي وسوف نشير إليها إشارة مختصرة في القسم المتعلق بالمطبوعات، وسوف نذكر هنالك نص فتوى المرحوم الأصفهاني في هذا الصدد. </w:t>
      </w:r>
      <w:r w:rsidRPr="006E28E9">
        <w:rPr>
          <w:rtl/>
        </w:rPr>
        <w:t xml:space="preserve"> </w:t>
      </w:r>
    </w:p>
  </w:footnote>
  <w:footnote w:id="3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في ختام كتاب «</w:t>
      </w:r>
      <w:r w:rsidRPr="008C7124">
        <w:rPr>
          <w:rStyle w:val="Char9"/>
          <w:rFonts w:hint="cs"/>
          <w:sz w:val="20"/>
          <w:szCs w:val="20"/>
          <w:rtl/>
        </w:rPr>
        <w:t>راه سعادت</w:t>
      </w:r>
      <w:r w:rsidRPr="006E28E9">
        <w:rPr>
          <w:rFonts w:hint="cs"/>
          <w:rtl/>
        </w:rPr>
        <w:t xml:space="preserve">» [طريق السعادة]، للشعراني، وتحت العنوان الفرعي «رد شبهات، إثبات نبوة خاتم الأنبياء» (ص 294) جاء ما نصه: «لقد أعددت كثيرًا من مواضيع هذا الكتاب لأجل تدارسها في مجلس الدعوة للمرحوم حجة الإسلام الحاج السيد أبو الحسن الطالقاني - طاب ثراه- وجناب السيد عباس قلي السيد بازرگان التبريزي- وفقه الله- ولقد احببت أن أذكر اسمه هنا لأن مجلسه كان سببًا في كتابة هذه الرسالة».  </w:t>
      </w:r>
    </w:p>
  </w:footnote>
  <w:footnote w:id="39">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قال السيد «بُدَلاء» الذي كان يحضر تلك الاجتماعات مع السيد محمود الطالقاني وعلي أكبر حكمي زاده، (وكتب في مجلة </w:t>
      </w:r>
      <w:r w:rsidRPr="008C7124">
        <w:rPr>
          <w:rStyle w:val="Char9"/>
          <w:rFonts w:hint="cs"/>
          <w:sz w:val="20"/>
          <w:szCs w:val="20"/>
          <w:rtl/>
        </w:rPr>
        <w:t>هما</w:t>
      </w:r>
      <w:r>
        <w:rPr>
          <w:rStyle w:val="Char9"/>
          <w:rFonts w:hint="cs"/>
          <w:sz w:val="20"/>
          <w:szCs w:val="20"/>
          <w:rtl/>
        </w:rPr>
        <w:t>ی</w:t>
      </w:r>
      <w:r w:rsidRPr="008C7124">
        <w:rPr>
          <w:rStyle w:val="Char9"/>
          <w:rFonts w:hint="cs"/>
          <w:sz w:val="20"/>
          <w:szCs w:val="20"/>
          <w:rtl/>
        </w:rPr>
        <w:t>ون</w:t>
      </w:r>
      <w:r w:rsidRPr="006E28E9">
        <w:rPr>
          <w:rFonts w:hint="cs"/>
          <w:rtl/>
        </w:rPr>
        <w:t xml:space="preserve"> مقالاً أيضًا، كمقاله: في العدد 9 من المجلة، ص 15 - 18): «كان من جملة أعمال السيد أبو الحسن الطالقاني أنه كان يدعو جميع الوجهاء والشخصيات البارزة والمشهورة في ذلك الزمن سواء كانوا من الإيرانين أم من الأجانب، إلى المشاركة في تلك المجالس؛ وكانت تلك المجالس حرَّةً تمامًا وكان يحضرها كل المجموعات الفاعلة في حينها، ويجلسون في زوايا المجلس يتحدثون ويتهامسون حول كل الموضوعات، وقد دعوا على سبيل المثال فردًا مثل غلام أحمد القادياني الذي كان يأتي من الهند، وكان شخصًا مرتدًّا مثل كسروي، إذْ اخترع دينًا جديدًا، كي يحضروا اجتماعاتهم ويلقوا كلمةً فيها.   </w:t>
      </w:r>
      <w:r w:rsidRPr="006E28E9">
        <w:rPr>
          <w:rtl/>
        </w:rPr>
        <w:t xml:space="preserve"> </w:t>
      </w:r>
    </w:p>
  </w:footnote>
  <w:footnote w:id="40">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6E28E9">
        <w:rPr>
          <w:rtl/>
        </w:rPr>
        <w:t xml:space="preserve"> </w:t>
      </w:r>
      <w:r w:rsidRPr="006E28E9">
        <w:rPr>
          <w:rFonts w:hint="cs"/>
          <w:rtl/>
        </w:rPr>
        <w:t>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[شريعت الإسلام]، السنة 3، العدد 40، ص 28 - 29 (جاء في المجلة صورة لتلك الرسالة). وأضاف السيد الطالقاني أنه يملك عدة رسائل أخرى حول هذا الموضوع نفسه مِنْ قِبَلِ المرحوم النائيني والحائري. (ولحسن الحظ فإن هذه الرسائل أُتيحَت لنا مِنْ قِبَلِ السيد مهدي الطالقاني - ابن المرحوم الطالقاني - ضمن مقال في مجلة پيام بهارستان [رسالة الربيع]، العدد 4 (صيف 1).</w:t>
      </w:r>
    </w:p>
  </w:footnote>
  <w:footnote w:id="41">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كان عمل الناظر بشكل رئيسي هو أن يراقب الكتب التي تُطْبَع ويمنع نشر الأمور المعادية للدين. إن نظرة إلى كتاب «</w:t>
      </w:r>
      <w:r w:rsidRPr="008C7124">
        <w:rPr>
          <w:rStyle w:val="Char9"/>
          <w:rFonts w:hint="cs"/>
          <w:sz w:val="20"/>
          <w:szCs w:val="20"/>
          <w:rtl/>
        </w:rPr>
        <w:t>سانسور در آ</w:t>
      </w:r>
      <w:r>
        <w:rPr>
          <w:rStyle w:val="Char9"/>
          <w:rFonts w:hint="cs"/>
          <w:sz w:val="20"/>
          <w:szCs w:val="20"/>
          <w:rtl/>
        </w:rPr>
        <w:t>یی</w:t>
      </w:r>
      <w:r w:rsidRPr="008C7124">
        <w:rPr>
          <w:rStyle w:val="Char9"/>
          <w:rFonts w:hint="cs"/>
          <w:sz w:val="20"/>
          <w:szCs w:val="20"/>
          <w:rtl/>
        </w:rPr>
        <w:t>نه</w:t>
      </w:r>
      <w:r w:rsidRPr="006E28E9">
        <w:rPr>
          <w:rFonts w:hint="cs"/>
          <w:rtl/>
        </w:rPr>
        <w:t>» [الرقابة في المرآة] الذي يقدِّم لنا تقريرًا عما وُصِفَت به الكتب حتى سنة 1357 هـ.ش/ 1978م، تدل على أنه كان هناك في وزارة الثقافة والفن شخص باسم «ناظر شرعيات» كان يبدي وجه نظره في كل كتاب يتعرض إلى الدين على نحو يستدعي التأمُّل والمراجعة.</w:t>
      </w:r>
    </w:p>
  </w:footnote>
  <w:footnote w:id="42">
    <w:p w:rsidR="008C7124" w:rsidRPr="006E28E9" w:rsidRDefault="008C7124" w:rsidP="0092648A">
      <w:pPr>
        <w:pStyle w:val="FootnoteText"/>
        <w:rPr>
          <w:rtl/>
          <w:lang w:bidi="ar-SY"/>
        </w:rPr>
      </w:pPr>
      <w:r w:rsidRPr="006E28E9">
        <w:rPr>
          <w:rFonts w:ascii="Arabic11 BT" w:hAnsi="Arabic11 BT" w:cs="Arabic11 BT"/>
        </w:rPr>
        <w:footnoteRef/>
      </w:r>
      <w:r w:rsidRPr="006E28E9">
        <w:rPr>
          <w:rFonts w:hint="cs"/>
          <w:rtl/>
        </w:rPr>
        <w:t>. ما بين المعقوفتين من المترجم.</w:t>
      </w:r>
      <w:r w:rsidRPr="006E28E9">
        <w:rPr>
          <w:rFonts w:hint="cs"/>
          <w:rtl/>
          <w:lang w:bidi="ar-SY"/>
        </w:rPr>
        <w:t xml:space="preserve"> (المُتَرْجِمُ)</w:t>
      </w:r>
    </w:p>
  </w:footnote>
  <w:footnote w:id="4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[شريعة الإسلام]، السنة 2، العدد 43، ص 4. من الجدير بالذكر أنه على الرغم من وفاة آية الله السيد أبي الحسن الأصفهاني خارج إيران، إلا أنه كان لِـخَبَر وفاته انعكاس واسع جدًّا في إيران، وكان إقامة مجالس قراءة الفاتحة على روحه نوعًا من عرض قدرة الدين ونفوذ علماء الدين في جميع مدن إيران. وتدل التقارير والصور التي أدرجتها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xml:space="preserve">» (سنة 3، عدد 40، ص 7 - 10 و 33 - 37) على هذا الموضوع. ومن الجدير بالذكر أيضًا أن دعايات حزب توده الشيوعي هي التي أوجدت الموانع الأساسية التي حالت دون مجيء المرحوم السيد أبو الحسن الأصفهاني إلى إيران للعلاج، مما أدى إلى ذهابه إلى مدينة بعلبك في لبنان لهذا الغرض. ورغم ذلك، فإن انعكاس وفاته في إيران كان واسعًا جدًّا حتى في أذربيجان التي كانت واقعة تحت سلطة دولة الكادحين. انظروا: </w:t>
      </w:r>
      <w:r w:rsidRPr="008C7124">
        <w:rPr>
          <w:rStyle w:val="Char9"/>
          <w:rFonts w:hint="cs"/>
          <w:sz w:val="20"/>
          <w:szCs w:val="20"/>
          <w:rtl/>
        </w:rPr>
        <w:t>مرجع</w:t>
      </w:r>
      <w:r>
        <w:rPr>
          <w:rStyle w:val="Char9"/>
          <w:rFonts w:hint="cs"/>
          <w:sz w:val="20"/>
          <w:szCs w:val="20"/>
          <w:rtl/>
        </w:rPr>
        <w:t>ی</w:t>
      </w:r>
      <w:r w:rsidRPr="008C7124">
        <w:rPr>
          <w:rStyle w:val="Char9"/>
          <w:rFonts w:hint="cs"/>
          <w:sz w:val="20"/>
          <w:szCs w:val="20"/>
          <w:rtl/>
        </w:rPr>
        <w:t>ت در عرصه اجتماع و س</w:t>
      </w:r>
      <w:r>
        <w:rPr>
          <w:rStyle w:val="Char9"/>
          <w:rFonts w:hint="cs"/>
          <w:sz w:val="20"/>
          <w:szCs w:val="20"/>
          <w:rtl/>
        </w:rPr>
        <w:t>ی</w:t>
      </w:r>
      <w:r w:rsidRPr="008C7124">
        <w:rPr>
          <w:rStyle w:val="Char9"/>
          <w:rFonts w:hint="cs"/>
          <w:sz w:val="20"/>
          <w:szCs w:val="20"/>
          <w:rtl/>
        </w:rPr>
        <w:t>است</w:t>
      </w:r>
      <w:r w:rsidRPr="006E28E9">
        <w:rPr>
          <w:rFonts w:hint="cs"/>
          <w:rtl/>
        </w:rPr>
        <w:t xml:space="preserve"> [المرجعية في ساحة المجتمع والسياسة]، ص 108 - 109، وإلى المصادر التي ذُكِرَت في ذلك الكتاب.</w:t>
      </w:r>
    </w:p>
  </w:footnote>
  <w:footnote w:id="44">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حول وضع «ناظر</w:t>
      </w:r>
      <w:r w:rsidRPr="006E28E9">
        <w:rPr>
          <w:rtl/>
        </w:rPr>
        <w:t xml:space="preserve"> </w:t>
      </w:r>
      <w:r w:rsidRPr="006E28E9">
        <w:rPr>
          <w:rFonts w:hint="cs"/>
          <w:rtl/>
        </w:rPr>
        <w:t>شرعيات» في وزارة الثقافة سنة 1329 هـ.ش/1950م، انظروا: «</w:t>
      </w:r>
      <w:r w:rsidRPr="008C7124">
        <w:rPr>
          <w:rStyle w:val="Char9"/>
          <w:rFonts w:hint="cs"/>
          <w:sz w:val="20"/>
          <w:szCs w:val="20"/>
          <w:rtl/>
        </w:rPr>
        <w:t>نداى حق</w:t>
      </w:r>
      <w:r w:rsidRPr="006E28E9">
        <w:rPr>
          <w:rFonts w:hint="cs"/>
          <w:rtl/>
        </w:rPr>
        <w:t>» [نداء الحق]، السنة الأولى، العدد الأول، ص 1 و 2.</w:t>
      </w:r>
    </w:p>
  </w:footnote>
  <w:footnote w:id="45">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الحاج آقا حسين القمي (وُلِدَ في 28 من شهر رجب 1282 هـ.ق/1856م، وتوفي في 17 بهمن 1325 هـ.ش= 6/2/1947م). بعد أن درس في العتبات اختار سنة 1331 هـ.ق/1952م الإقامةَ في مشهد. في سنة 1314 هـ.ش/ 1935م جاء إلى طهران لإعلان معارضته لقانون نزع الحجاب؛ ولكن قبل أن يلتقي بالملك رضا شاه، تم نفيه إلى العراق فاختار الإقامة في كربلاء. بعد ذهاب رضا خان، كتب السيد حسين القمي - في الفترة التي جاء فيها إلى إيران - سنة 1323 هـ.ش/1944م، رسالةً إلى دولة سهيلي حول قانون إلزام نزع الحجاب، وواصل جهوده في هذا المجال بإبراق برقيات إلى طهران في مناسبات مختلفة وكان يتابع هذه المسألة. انظر: مجلة </w:t>
      </w:r>
      <w:r>
        <w:rPr>
          <w:rStyle w:val="Char9"/>
          <w:rFonts w:hint="cs"/>
          <w:sz w:val="20"/>
          <w:szCs w:val="20"/>
          <w:rtl/>
        </w:rPr>
        <w:t>ی</w:t>
      </w:r>
      <w:r w:rsidRPr="008C7124">
        <w:rPr>
          <w:rStyle w:val="Char9"/>
          <w:rFonts w:hint="cs"/>
          <w:sz w:val="20"/>
          <w:szCs w:val="20"/>
          <w:rtl/>
        </w:rPr>
        <w:t>اد</w:t>
      </w:r>
      <w:r w:rsidRPr="006E28E9">
        <w:rPr>
          <w:rFonts w:hint="cs"/>
          <w:rtl/>
        </w:rPr>
        <w:t>، العدد 4، ص 31 (خاطرات آذري قمي). (وانظر إلى: غضب المثقفين التنويريين مثل كسروي من انعكاسات هذا السفر في كتابه الذي حمل عنوان «</w:t>
      </w:r>
      <w:r w:rsidRPr="008C7124">
        <w:rPr>
          <w:rStyle w:val="Char9"/>
          <w:rFonts w:hint="cs"/>
          <w:sz w:val="20"/>
          <w:szCs w:val="20"/>
          <w:rtl/>
        </w:rPr>
        <w:t>دادگاه</w:t>
      </w:r>
      <w:r w:rsidRPr="006E28E9">
        <w:rPr>
          <w:rFonts w:hint="cs"/>
          <w:rtl/>
        </w:rPr>
        <w:t>» [أي المحكمة]، ص 54 - 55). لقد توفي آية الله القمي في الخامس من شهر بهمن سنة 1325 هـ.ش/13 ربيع الأول سنة 1366 هـ.ق./ 1947م. (انظروا: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[شريعة الإسلام]، سنة 3 (1325 هـ.ش)، العدد 40، ص 3 - 4؛ ومجلة «</w:t>
      </w:r>
      <w:r w:rsidRPr="008C7124">
        <w:rPr>
          <w:rStyle w:val="Char9"/>
          <w:rFonts w:hint="cs"/>
          <w:sz w:val="20"/>
          <w:szCs w:val="20"/>
          <w:rtl/>
        </w:rPr>
        <w:t>نگاه حوزه</w:t>
      </w:r>
      <w:r w:rsidRPr="006E28E9">
        <w:rPr>
          <w:rFonts w:hint="cs"/>
          <w:rtl/>
        </w:rPr>
        <w:t xml:space="preserve">» [رأي الحوزة]، الملحق بالعدد 4، ص 13 - 17). لقد كان استقبال آية الله القمي نوعًا من إظهار الفرح بذهاب رضا خان؛ وذلك لأن الناس كانوا يرون في آية الله قمي شخصية واجهت رضا خان. (انظروا حول هذا السفر إلى: </w:t>
      </w:r>
      <w:r w:rsidRPr="008C7124">
        <w:rPr>
          <w:rStyle w:val="Char9"/>
          <w:rFonts w:hint="cs"/>
          <w:sz w:val="20"/>
          <w:szCs w:val="20"/>
          <w:rtl/>
        </w:rPr>
        <w:t>آثار الحج</w:t>
      </w:r>
      <w:r>
        <w:rPr>
          <w:rStyle w:val="Char9"/>
          <w:rFonts w:hint="cs"/>
          <w:sz w:val="20"/>
          <w:szCs w:val="20"/>
          <w:rtl/>
        </w:rPr>
        <w:t>ۀ</w:t>
      </w:r>
      <w:r w:rsidRPr="006E28E9">
        <w:rPr>
          <w:rFonts w:hint="cs"/>
          <w:rtl/>
        </w:rPr>
        <w:t>، ج 1، ص 123 - 125). وكان ابنه الحاج السيد حسن القمي من مراجع مدينة مشهد المحليين النشيطين جدًّا قبل الثورة، وعاش ثلاثة عشر عامًا منفيًّا في مدينة كَرَج. ولا يزال حيًّا حتى اللحظة (1382 هـ.ش/2003م) ويعيش في مشهد. (وقد توفي في 21 شهر خرداد 1386 هـ.ش/2007م ثم دُفِن في اليوم التالي في حرم الإمام الرضا). والابن الآخر له هو الحاج آقا تقي الذي كان من علماء ذلك العصر المشهورين.</w:t>
      </w:r>
    </w:p>
  </w:footnote>
  <w:footnote w:id="46">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في الواقع كانت المدة الزمنية بين وفاة آية الله السيد أبو الحسن الأصفهاني و وفاة الحاج السيد حسين القمي 95 يومًا، لذا ذهبت جهود أولئك الذين سعوا إلى تثبيت مرجعة القمي بعد مرجعية الأصفهاني سُدًى. انظر شرح سيرة وحياة آية الله القمي التي كتبت في أيام وفاته في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xml:space="preserve">»، السنة 3، عدد استثنائي يوم الأحد، 20 بهمن 1324 هـ.ش/ 9 فبراير (شباط) 1946م. </w:t>
      </w:r>
    </w:p>
  </w:footnote>
  <w:footnote w:id="47">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آيين اسلام، السنة 2، العدد 43، ص 4.</w:t>
      </w:r>
    </w:p>
  </w:footnote>
  <w:footnote w:id="48">
    <w:p w:rsidR="008C7124" w:rsidRPr="006E28E9" w:rsidRDefault="008C7124" w:rsidP="0092648A">
      <w:pPr>
        <w:pStyle w:val="FootnoteText"/>
        <w:rPr>
          <w:rtl/>
          <w:lang w:bidi="ar-SY"/>
        </w:rPr>
      </w:pPr>
      <w:r w:rsidRPr="006E28E9">
        <w:rPr>
          <w:rFonts w:ascii="Arabic11 BT" w:hAnsi="Arabic11 BT" w:cs="Arabic11 BT"/>
        </w:rPr>
        <w:footnoteRef/>
      </w:r>
      <w:r w:rsidRPr="006E28E9">
        <w:rPr>
          <w:rFonts w:hint="cs"/>
          <w:rtl/>
        </w:rPr>
        <w:t xml:space="preserve">. في مجلة </w:t>
      </w:r>
      <w:r w:rsidRPr="008C7124">
        <w:rPr>
          <w:rStyle w:val="Char9"/>
          <w:rFonts w:hint="cs"/>
          <w:sz w:val="20"/>
          <w:szCs w:val="20"/>
          <w:rtl/>
        </w:rPr>
        <w:t>دن</w:t>
      </w:r>
      <w:r>
        <w:rPr>
          <w:rStyle w:val="Char9"/>
          <w:rFonts w:hint="cs"/>
          <w:sz w:val="20"/>
          <w:szCs w:val="20"/>
          <w:rtl/>
        </w:rPr>
        <w:t>ی</w:t>
      </w:r>
      <w:r w:rsidRPr="008C7124">
        <w:rPr>
          <w:rStyle w:val="Char9"/>
          <w:rFonts w:hint="cs"/>
          <w:sz w:val="20"/>
          <w:szCs w:val="20"/>
          <w:rtl/>
        </w:rPr>
        <w:t>ا</w:t>
      </w:r>
      <w:r>
        <w:rPr>
          <w:rStyle w:val="Char9"/>
          <w:rFonts w:hint="cs"/>
          <w:sz w:val="20"/>
          <w:szCs w:val="20"/>
          <w:rtl/>
        </w:rPr>
        <w:t>ی</w:t>
      </w:r>
      <w:r w:rsidRPr="008C7124">
        <w:rPr>
          <w:rStyle w:val="Char9"/>
          <w:rFonts w:hint="cs"/>
          <w:sz w:val="20"/>
          <w:szCs w:val="20"/>
          <w:rtl/>
        </w:rPr>
        <w:t xml:space="preserve"> اسلام</w:t>
      </w:r>
      <w:r w:rsidRPr="006E28E9">
        <w:rPr>
          <w:rFonts w:hint="cs"/>
          <w:rtl/>
        </w:rPr>
        <w:t xml:space="preserve"> (دنيا الإسلام) سنة 1326 </w:t>
      </w:r>
      <w:r w:rsidRPr="006E28E9">
        <w:rPr>
          <w:rFonts w:hint="cs"/>
          <w:rtl/>
          <w:lang w:bidi="ar-SY"/>
        </w:rPr>
        <w:t>هـ.ش/1947م، تم تخصيص عدة مقالات افتتاحية لموضوع الطراز الأول، والأصل الثاني المتمم للدستور.</w:t>
      </w:r>
    </w:p>
  </w:footnote>
  <w:footnote w:id="49">
    <w:p w:rsidR="008C7124" w:rsidRPr="006E28E9" w:rsidRDefault="008C7124" w:rsidP="0092648A">
      <w:pPr>
        <w:pStyle w:val="FootnoteText"/>
      </w:pPr>
      <w:r w:rsidRPr="006E28E9">
        <w:rPr>
          <w:rFonts w:ascii="Arabic11 BT" w:hAnsi="Arabic11 BT" w:cs="Arabic11 BT"/>
        </w:rPr>
        <w:footnoteRef/>
      </w:r>
      <w:r w:rsidRPr="006E28E9">
        <w:rPr>
          <w:rtl/>
        </w:rPr>
        <w:t xml:space="preserve">. سوف نتحدث عنه لاحقًا. </w:t>
      </w:r>
    </w:p>
  </w:footnote>
  <w:footnote w:id="50">
    <w:p w:rsidR="008C7124" w:rsidRPr="006E28E9" w:rsidRDefault="008C7124" w:rsidP="0092648A">
      <w:pPr>
        <w:pStyle w:val="FootnoteText"/>
      </w:pPr>
      <w:r w:rsidRPr="006E28E9">
        <w:rPr>
          <w:rFonts w:ascii="Arabic11 BT" w:hAnsi="Arabic11 BT" w:cs="Arabic11 BT"/>
        </w:rPr>
        <w:footnoteRef/>
      </w:r>
      <w:r w:rsidRPr="006E28E9">
        <w:rPr>
          <w:rtl/>
        </w:rPr>
        <w:t>. انظر: نصوص إجابات المراجع في: «</w:t>
      </w:r>
      <w:r w:rsidRPr="008C7124">
        <w:rPr>
          <w:rStyle w:val="Char9"/>
          <w:sz w:val="20"/>
          <w:szCs w:val="20"/>
          <w:rtl/>
        </w:rPr>
        <w:t>آ</w:t>
      </w:r>
      <w:r>
        <w:rPr>
          <w:rStyle w:val="Char9"/>
          <w:sz w:val="20"/>
          <w:szCs w:val="20"/>
          <w:rtl/>
        </w:rPr>
        <w:t>یی</w:t>
      </w:r>
      <w:r w:rsidRPr="008C7124">
        <w:rPr>
          <w:rStyle w:val="Char9"/>
          <w:sz w:val="20"/>
          <w:szCs w:val="20"/>
          <w:rtl/>
        </w:rPr>
        <w:t>ن اسلام</w:t>
      </w:r>
      <w:r w:rsidRPr="006E28E9">
        <w:rPr>
          <w:rtl/>
        </w:rPr>
        <w:t>»</w:t>
      </w:r>
      <w:r w:rsidRPr="006E28E9">
        <w:rPr>
          <w:rFonts w:hint="cs"/>
          <w:rtl/>
        </w:rPr>
        <w:t xml:space="preserve"> [شريعة </w:t>
      </w:r>
      <w:r w:rsidRPr="006E28E9">
        <w:rPr>
          <w:rFonts w:hint="cs"/>
          <w:rtl/>
          <w:lang w:bidi="ar-SY"/>
        </w:rPr>
        <w:t>الإسلام</w:t>
      </w:r>
      <w:r w:rsidRPr="006E28E9">
        <w:rPr>
          <w:rFonts w:hint="cs"/>
          <w:rtl/>
        </w:rPr>
        <w:t>]</w:t>
      </w:r>
      <w:r w:rsidRPr="006E28E9">
        <w:rPr>
          <w:rtl/>
        </w:rPr>
        <w:t>، السنة 4، العدد 6، ص 4</w:t>
      </w:r>
      <w:r w:rsidRPr="006E28E9">
        <w:rPr>
          <w:rFonts w:hint="cs"/>
          <w:rtl/>
        </w:rPr>
        <w:t xml:space="preserve"> </w:t>
      </w:r>
      <w:r w:rsidRPr="006E28E9">
        <w:rPr>
          <w:rtl/>
        </w:rPr>
        <w:t>و5</w:t>
      </w:r>
      <w:r w:rsidRPr="006E28E9">
        <w:rPr>
          <w:rFonts w:hint="cs"/>
          <w:rtl/>
        </w:rPr>
        <w:t xml:space="preserve"> </w:t>
      </w:r>
      <w:r w:rsidRPr="006E28E9">
        <w:rPr>
          <w:rtl/>
        </w:rPr>
        <w:t>و16، وانظر أيضًا إلى تقرير آخر حول هذه القضية في مجلة «</w:t>
      </w:r>
      <w:r w:rsidRPr="008C7124">
        <w:rPr>
          <w:rStyle w:val="Char9"/>
          <w:sz w:val="20"/>
          <w:szCs w:val="20"/>
          <w:rtl/>
        </w:rPr>
        <w:t>آ</w:t>
      </w:r>
      <w:r>
        <w:rPr>
          <w:rStyle w:val="Char9"/>
          <w:sz w:val="20"/>
          <w:szCs w:val="20"/>
          <w:rtl/>
        </w:rPr>
        <w:t>یی</w:t>
      </w:r>
      <w:r w:rsidRPr="008C7124">
        <w:rPr>
          <w:rStyle w:val="Char9"/>
          <w:sz w:val="20"/>
          <w:szCs w:val="20"/>
          <w:rtl/>
        </w:rPr>
        <w:t>ن اسلام</w:t>
      </w:r>
      <w:r w:rsidRPr="006E28E9">
        <w:rPr>
          <w:rtl/>
        </w:rPr>
        <w:t xml:space="preserve">»، السنة 4، العدد 26، ص 5. </w:t>
      </w:r>
    </w:p>
  </w:footnote>
  <w:footnote w:id="51">
    <w:p w:rsidR="008C7124" w:rsidRPr="006E28E9" w:rsidRDefault="008C7124" w:rsidP="0092648A">
      <w:pPr>
        <w:pStyle w:val="FootnoteText"/>
        <w:rPr>
          <w:spacing w:val="-4"/>
        </w:rPr>
      </w:pPr>
      <w:r w:rsidRPr="006E28E9">
        <w:rPr>
          <w:rFonts w:ascii="Arabic11 BT" w:hAnsi="Arabic11 BT" w:cs="Arabic11 BT"/>
          <w:spacing w:val="-4"/>
        </w:rPr>
        <w:footnoteRef/>
      </w:r>
      <w:r w:rsidRPr="006E28E9">
        <w:rPr>
          <w:spacing w:val="-4"/>
          <w:rtl/>
        </w:rPr>
        <w:t>. «</w:t>
      </w:r>
      <w:r w:rsidRPr="008C7124">
        <w:rPr>
          <w:rStyle w:val="Char9"/>
          <w:spacing w:val="-4"/>
          <w:sz w:val="20"/>
          <w:szCs w:val="20"/>
          <w:rtl/>
        </w:rPr>
        <w:t xml:space="preserve">واقعه </w:t>
      </w:r>
      <w:r>
        <w:rPr>
          <w:rStyle w:val="Char9"/>
          <w:spacing w:val="-4"/>
          <w:sz w:val="20"/>
          <w:szCs w:val="20"/>
          <w:rtl/>
        </w:rPr>
        <w:t>ک</w:t>
      </w:r>
      <w:r w:rsidRPr="008C7124">
        <w:rPr>
          <w:rStyle w:val="Char9"/>
          <w:spacing w:val="-4"/>
          <w:sz w:val="20"/>
          <w:szCs w:val="20"/>
          <w:rtl/>
        </w:rPr>
        <w:t>شف حجاب</w:t>
      </w:r>
      <w:r w:rsidRPr="006E28E9">
        <w:rPr>
          <w:spacing w:val="-4"/>
          <w:rtl/>
        </w:rPr>
        <w:t>»، ص 424، وقد سافر أساسًا إلى إيران لأجل هذه الغاية، وخلال هذا السفر قام آية الله البروجردي بإبراق برقية إلى العاصمة بين فيها تأييده لم</w:t>
      </w:r>
      <w:r w:rsidRPr="006E28E9">
        <w:rPr>
          <w:rFonts w:hint="cs"/>
          <w:spacing w:val="-4"/>
          <w:rtl/>
        </w:rPr>
        <w:t>ا طا</w:t>
      </w:r>
      <w:r w:rsidRPr="006E28E9">
        <w:rPr>
          <w:spacing w:val="-4"/>
          <w:rtl/>
        </w:rPr>
        <w:t xml:space="preserve">لب </w:t>
      </w:r>
      <w:r w:rsidRPr="006E28E9">
        <w:rPr>
          <w:rFonts w:hint="cs"/>
          <w:spacing w:val="-4"/>
          <w:rtl/>
        </w:rPr>
        <w:t xml:space="preserve">به </w:t>
      </w:r>
      <w:r w:rsidRPr="006E28E9">
        <w:rPr>
          <w:spacing w:val="-4"/>
          <w:rtl/>
        </w:rPr>
        <w:t>السيد القمي</w:t>
      </w:r>
      <w:r w:rsidRPr="006E28E9">
        <w:rPr>
          <w:rFonts w:hint="cs"/>
          <w:spacing w:val="-4"/>
          <w:rtl/>
        </w:rPr>
        <w:t>.</w:t>
      </w:r>
      <w:r w:rsidRPr="006E28E9">
        <w:rPr>
          <w:spacing w:val="-4"/>
          <w:rtl/>
        </w:rPr>
        <w:t xml:space="preserve"> كان آية الله البروجردي في ذلك الوقت في مدينة بروجرد، ونظرًا لما كان يتمتع به السيد البروجردي من نفوذ بين عشائر تلك النواحي، فقد قبلت الحكومة طلب السيد القمي، انظر: حوار م</w:t>
      </w:r>
      <w:r w:rsidRPr="006E28E9">
        <w:rPr>
          <w:rFonts w:hint="cs"/>
          <w:spacing w:val="-4"/>
          <w:rtl/>
        </w:rPr>
        <w:t>ع</w:t>
      </w:r>
      <w:r w:rsidRPr="006E28E9">
        <w:rPr>
          <w:spacing w:val="-4"/>
          <w:rtl/>
        </w:rPr>
        <w:t xml:space="preserve"> آية الله الشيخ علي صافي في </w:t>
      </w:r>
      <w:r w:rsidRPr="008C7124">
        <w:rPr>
          <w:rStyle w:val="Char9"/>
          <w:spacing w:val="-4"/>
          <w:sz w:val="20"/>
          <w:szCs w:val="20"/>
          <w:rtl/>
        </w:rPr>
        <w:t>مجل</w:t>
      </w:r>
      <w:r>
        <w:rPr>
          <w:rStyle w:val="Char9"/>
          <w:spacing w:val="-4"/>
          <w:sz w:val="20"/>
          <w:szCs w:val="20"/>
          <w:rtl/>
        </w:rPr>
        <w:t>ۀ</w:t>
      </w:r>
      <w:r w:rsidRPr="008C7124">
        <w:rPr>
          <w:rStyle w:val="Char9"/>
          <w:spacing w:val="-4"/>
          <w:sz w:val="20"/>
          <w:szCs w:val="20"/>
          <w:rtl/>
        </w:rPr>
        <w:t xml:space="preserve"> الحوز</w:t>
      </w:r>
      <w:r>
        <w:rPr>
          <w:rStyle w:val="Char9"/>
          <w:spacing w:val="-4"/>
          <w:sz w:val="20"/>
          <w:szCs w:val="20"/>
          <w:rtl/>
        </w:rPr>
        <w:t>ۀ</w:t>
      </w:r>
      <w:r w:rsidRPr="006E28E9">
        <w:rPr>
          <w:spacing w:val="-4"/>
          <w:rtl/>
        </w:rPr>
        <w:t>، العدد 43-44، ص 116.</w:t>
      </w:r>
    </w:p>
  </w:footnote>
  <w:footnote w:id="52">
    <w:p w:rsidR="008C7124" w:rsidRPr="006E28E9" w:rsidRDefault="008C7124" w:rsidP="0092648A">
      <w:pPr>
        <w:pStyle w:val="FootnoteText"/>
      </w:pPr>
      <w:r w:rsidRPr="006E28E9">
        <w:rPr>
          <w:rFonts w:ascii="Arabic11 BT" w:hAnsi="Arabic11 BT" w:cs="Arabic11 BT"/>
        </w:rPr>
        <w:footnoteRef/>
      </w:r>
      <w:r w:rsidRPr="006E28E9">
        <w:rPr>
          <w:rtl/>
        </w:rPr>
        <w:t xml:space="preserve">. حول نص رسالة رئيس الوزراء له، انظر: </w:t>
      </w:r>
      <w:r w:rsidRPr="008C7124">
        <w:rPr>
          <w:rStyle w:val="Char9"/>
          <w:sz w:val="20"/>
          <w:szCs w:val="20"/>
          <w:rtl/>
        </w:rPr>
        <w:t>مر</w:t>
      </w:r>
      <w:r w:rsidRPr="008C7124">
        <w:rPr>
          <w:rStyle w:val="Char9"/>
          <w:rFonts w:hint="cs"/>
          <w:sz w:val="20"/>
          <w:szCs w:val="20"/>
          <w:rtl/>
        </w:rPr>
        <w:t>ج</w:t>
      </w:r>
      <w:r w:rsidRPr="008C7124">
        <w:rPr>
          <w:rStyle w:val="Char9"/>
          <w:sz w:val="20"/>
          <w:szCs w:val="20"/>
          <w:rtl/>
        </w:rPr>
        <w:t>ع</w:t>
      </w:r>
      <w:r>
        <w:rPr>
          <w:rStyle w:val="Char9"/>
          <w:sz w:val="20"/>
          <w:szCs w:val="20"/>
          <w:rtl/>
        </w:rPr>
        <w:t>ی</w:t>
      </w:r>
      <w:r w:rsidRPr="008C7124">
        <w:rPr>
          <w:rStyle w:val="Char9"/>
          <w:sz w:val="20"/>
          <w:szCs w:val="20"/>
          <w:rtl/>
        </w:rPr>
        <w:t>ت در عرصه اجتماع وس</w:t>
      </w:r>
      <w:r>
        <w:rPr>
          <w:rStyle w:val="Char9"/>
          <w:sz w:val="20"/>
          <w:szCs w:val="20"/>
          <w:rtl/>
        </w:rPr>
        <w:t>ی</w:t>
      </w:r>
      <w:r w:rsidRPr="008C7124">
        <w:rPr>
          <w:rStyle w:val="Char9"/>
          <w:sz w:val="20"/>
          <w:szCs w:val="20"/>
          <w:rtl/>
        </w:rPr>
        <w:t>است</w:t>
      </w:r>
      <w:r w:rsidRPr="006E28E9">
        <w:rPr>
          <w:rtl/>
        </w:rPr>
        <w:t xml:space="preserve">، ص 272. </w:t>
      </w:r>
    </w:p>
  </w:footnote>
  <w:footnote w:id="53">
    <w:p w:rsidR="008C7124" w:rsidRPr="006E28E9" w:rsidRDefault="008C7124" w:rsidP="0092648A">
      <w:pPr>
        <w:pStyle w:val="FootnoteText"/>
      </w:pPr>
      <w:r w:rsidRPr="006E28E9">
        <w:rPr>
          <w:rFonts w:ascii="Arabic11 BT" w:hAnsi="Arabic11 BT" w:cs="Arabic11 BT"/>
        </w:rPr>
        <w:footnoteRef/>
      </w:r>
      <w:r w:rsidRPr="006E28E9">
        <w:rPr>
          <w:rtl/>
        </w:rPr>
        <w:t xml:space="preserve">. </w:t>
      </w:r>
      <w:r w:rsidRPr="008C7124">
        <w:rPr>
          <w:rStyle w:val="Char9"/>
          <w:sz w:val="20"/>
          <w:szCs w:val="20"/>
          <w:rtl/>
        </w:rPr>
        <w:t>المصدر نفسه</w:t>
      </w:r>
      <w:r w:rsidRPr="006E28E9">
        <w:rPr>
          <w:rtl/>
        </w:rPr>
        <w:t xml:space="preserve">، ص 295. </w:t>
      </w:r>
    </w:p>
  </w:footnote>
  <w:footnote w:id="54">
    <w:p w:rsidR="008C7124" w:rsidRPr="006E28E9" w:rsidRDefault="008C7124" w:rsidP="0092648A">
      <w:pPr>
        <w:pStyle w:val="FootnoteText"/>
      </w:pPr>
      <w:r w:rsidRPr="006E28E9">
        <w:rPr>
          <w:rFonts w:ascii="Arabic11 BT" w:hAnsi="Arabic11 BT" w:cs="Arabic11 BT"/>
        </w:rPr>
        <w:footnoteRef/>
      </w:r>
      <w:r w:rsidRPr="006E28E9">
        <w:rPr>
          <w:rtl/>
        </w:rPr>
        <w:t xml:space="preserve">. </w:t>
      </w:r>
      <w:r w:rsidRPr="008C7124">
        <w:rPr>
          <w:rStyle w:val="Char9"/>
          <w:sz w:val="20"/>
          <w:szCs w:val="20"/>
          <w:rtl/>
        </w:rPr>
        <w:t>دادگاه</w:t>
      </w:r>
      <w:r w:rsidRPr="006E28E9">
        <w:rPr>
          <w:rtl/>
        </w:rPr>
        <w:t xml:space="preserve"> [المحكمة]، ص 54-55. </w:t>
      </w:r>
    </w:p>
  </w:footnote>
  <w:footnote w:id="55">
    <w:p w:rsidR="008C7124" w:rsidRPr="006E28E9" w:rsidRDefault="008C7124" w:rsidP="0092648A">
      <w:pPr>
        <w:pStyle w:val="FootnoteText"/>
      </w:pPr>
      <w:r w:rsidRPr="006E28E9">
        <w:rPr>
          <w:rFonts w:ascii="Arabic11 BT" w:hAnsi="Arabic11 BT" w:cs="Arabic11 BT"/>
        </w:rPr>
        <w:footnoteRef/>
      </w:r>
      <w:r w:rsidRPr="006E28E9">
        <w:rPr>
          <w:rtl/>
        </w:rPr>
        <w:t xml:space="preserve">. </w:t>
      </w:r>
      <w:r w:rsidRPr="008C7124">
        <w:rPr>
          <w:rStyle w:val="Char9"/>
          <w:sz w:val="20"/>
          <w:szCs w:val="20"/>
          <w:rtl/>
        </w:rPr>
        <w:t>سرنوشت إ</w:t>
      </w:r>
      <w:r>
        <w:rPr>
          <w:rStyle w:val="Char9"/>
          <w:sz w:val="20"/>
          <w:szCs w:val="20"/>
          <w:rtl/>
        </w:rPr>
        <w:t>ی</w:t>
      </w:r>
      <w:r w:rsidRPr="008C7124">
        <w:rPr>
          <w:rStyle w:val="Char9"/>
          <w:sz w:val="20"/>
          <w:szCs w:val="20"/>
          <w:rtl/>
        </w:rPr>
        <w:t>ران چه خواهد شد</w:t>
      </w:r>
      <w:r w:rsidRPr="006E28E9">
        <w:rPr>
          <w:rtl/>
        </w:rPr>
        <w:t>؟ [ماذا سيكون مصير إيران</w:t>
      </w:r>
      <w:r w:rsidRPr="006E28E9">
        <w:rPr>
          <w:rFonts w:hint="cs"/>
          <w:rtl/>
        </w:rPr>
        <w:t>؟</w:t>
      </w:r>
      <w:r w:rsidRPr="006E28E9">
        <w:rPr>
          <w:rtl/>
        </w:rPr>
        <w:t xml:space="preserve">]، ص 33. </w:t>
      </w:r>
    </w:p>
  </w:footnote>
  <w:footnote w:id="56">
    <w:p w:rsidR="008C7124" w:rsidRPr="006E28E9" w:rsidRDefault="008C7124" w:rsidP="0092648A">
      <w:pPr>
        <w:pStyle w:val="FootnoteText"/>
      </w:pPr>
      <w:r w:rsidRPr="006E28E9">
        <w:rPr>
          <w:rFonts w:ascii="Arabic11 BT" w:hAnsi="Arabic11 BT" w:cs="Arabic11 BT"/>
        </w:rPr>
        <w:footnoteRef/>
      </w:r>
      <w:r w:rsidRPr="006E28E9">
        <w:rPr>
          <w:rtl/>
        </w:rPr>
        <w:t xml:space="preserve">. </w:t>
      </w:r>
      <w:r w:rsidRPr="008C7124">
        <w:rPr>
          <w:rStyle w:val="Char9"/>
          <w:sz w:val="20"/>
          <w:szCs w:val="20"/>
          <w:rtl/>
        </w:rPr>
        <w:t xml:space="preserve">قتل </w:t>
      </w:r>
      <w:r>
        <w:rPr>
          <w:rStyle w:val="Char9"/>
          <w:sz w:val="20"/>
          <w:szCs w:val="20"/>
          <w:rtl/>
        </w:rPr>
        <w:t>ک</w:t>
      </w:r>
      <w:r w:rsidRPr="008C7124">
        <w:rPr>
          <w:rStyle w:val="Char9"/>
          <w:sz w:val="20"/>
          <w:szCs w:val="20"/>
          <w:rtl/>
        </w:rPr>
        <w:t>سرو</w:t>
      </w:r>
      <w:r>
        <w:rPr>
          <w:rStyle w:val="Char9"/>
          <w:sz w:val="20"/>
          <w:szCs w:val="20"/>
          <w:rtl/>
        </w:rPr>
        <w:t>ی</w:t>
      </w:r>
      <w:r w:rsidRPr="006E28E9">
        <w:rPr>
          <w:rtl/>
        </w:rPr>
        <w:t xml:space="preserve">، ص 100. </w:t>
      </w:r>
    </w:p>
  </w:footnote>
  <w:footnote w:id="57">
    <w:p w:rsidR="008C7124" w:rsidRPr="006E28E9" w:rsidRDefault="008C7124" w:rsidP="0092648A">
      <w:pPr>
        <w:pStyle w:val="FootnoteText"/>
      </w:pPr>
      <w:r w:rsidRPr="006E28E9">
        <w:rPr>
          <w:rFonts w:ascii="Arabic11 BT" w:hAnsi="Arabic11 BT" w:cs="Arabic11 BT"/>
        </w:rPr>
        <w:footnoteRef/>
      </w:r>
      <w:r w:rsidRPr="006E28E9">
        <w:rPr>
          <w:rtl/>
        </w:rPr>
        <w:t xml:space="preserve">. </w:t>
      </w:r>
      <w:r w:rsidRPr="008C7124">
        <w:rPr>
          <w:rStyle w:val="Char9"/>
          <w:sz w:val="20"/>
          <w:szCs w:val="20"/>
          <w:rtl/>
        </w:rPr>
        <w:t xml:space="preserve">واقعه </w:t>
      </w:r>
      <w:r>
        <w:rPr>
          <w:rStyle w:val="Char9"/>
          <w:sz w:val="20"/>
          <w:szCs w:val="20"/>
          <w:rtl/>
        </w:rPr>
        <w:t>ک</w:t>
      </w:r>
      <w:r w:rsidRPr="008C7124">
        <w:rPr>
          <w:rStyle w:val="Char9"/>
          <w:sz w:val="20"/>
          <w:szCs w:val="20"/>
          <w:rtl/>
        </w:rPr>
        <w:t>شف حجاب</w:t>
      </w:r>
      <w:r w:rsidRPr="006E28E9">
        <w:rPr>
          <w:rtl/>
        </w:rPr>
        <w:t xml:space="preserve">، ص 425، وقد أثارت نشاطات المتدينين لأجل إعادة الحجاب، </w:t>
      </w:r>
      <w:r w:rsidRPr="006E28E9">
        <w:rPr>
          <w:rFonts w:hint="cs"/>
          <w:rtl/>
        </w:rPr>
        <w:t>سخط</w:t>
      </w:r>
      <w:r w:rsidRPr="006E28E9">
        <w:rPr>
          <w:rtl/>
        </w:rPr>
        <w:t xml:space="preserve"> المثفقين العلمانيين، وأحد الأمثلة على هذا </w:t>
      </w:r>
      <w:r w:rsidRPr="006E28E9">
        <w:rPr>
          <w:rFonts w:hint="cs"/>
          <w:rtl/>
        </w:rPr>
        <w:t>السخط</w:t>
      </w:r>
      <w:r w:rsidRPr="006E28E9">
        <w:rPr>
          <w:rtl/>
        </w:rPr>
        <w:t>، نجده فيما كتبه «توللي» ضد الحجاب في «</w:t>
      </w:r>
      <w:r w:rsidRPr="008C7124">
        <w:rPr>
          <w:rStyle w:val="Char9"/>
          <w:sz w:val="20"/>
          <w:szCs w:val="20"/>
          <w:rtl/>
        </w:rPr>
        <w:t>التفاص</w:t>
      </w:r>
      <w:r>
        <w:rPr>
          <w:rStyle w:val="Char9"/>
          <w:sz w:val="20"/>
          <w:szCs w:val="20"/>
          <w:rtl/>
        </w:rPr>
        <w:t>ی</w:t>
      </w:r>
      <w:r w:rsidRPr="008C7124">
        <w:rPr>
          <w:rStyle w:val="Char9"/>
          <w:sz w:val="20"/>
          <w:szCs w:val="20"/>
          <w:rtl/>
        </w:rPr>
        <w:t>ل</w:t>
      </w:r>
      <w:r w:rsidRPr="006E28E9">
        <w:rPr>
          <w:rtl/>
        </w:rPr>
        <w:t>»، ص 92-96، فقد كتب في مقدمته: «إن جرّ الحرب العالمية الثانية إلى إيران، أدى إلى انتعاش رجال الدين المزورين المقموعين</w:t>
      </w:r>
      <w:r w:rsidRPr="006E28E9">
        <w:rPr>
          <w:rFonts w:hint="cs"/>
          <w:rtl/>
        </w:rPr>
        <w:t>،</w:t>
      </w:r>
      <w:r w:rsidRPr="006E28E9">
        <w:rPr>
          <w:rtl/>
        </w:rPr>
        <w:t xml:space="preserve"> من جديد، وبطرحهم من جديد لمسألة الحجاب أعادوا كثيرًا من النساء </w:t>
      </w:r>
      <w:r w:rsidRPr="006E28E9">
        <w:rPr>
          <w:rFonts w:hint="cs"/>
          <w:rtl/>
        </w:rPr>
        <w:t>اللواتي كنَّ يكشفن وجوههن</w:t>
      </w:r>
      <w:r w:rsidRPr="006E28E9">
        <w:rPr>
          <w:rtl/>
        </w:rPr>
        <w:t xml:space="preserve"> إلى لبس التشادر [العباءة] والنقاب من جديد». </w:t>
      </w:r>
    </w:p>
  </w:footnote>
  <w:footnote w:id="58">
    <w:p w:rsidR="008C7124" w:rsidRPr="006E28E9" w:rsidRDefault="008C7124" w:rsidP="0092648A">
      <w:pPr>
        <w:pStyle w:val="FootnoteText"/>
      </w:pPr>
      <w:r w:rsidRPr="006E28E9">
        <w:rPr>
          <w:rFonts w:ascii="Arabic11 BT" w:hAnsi="Arabic11 BT" w:cs="Arabic11 BT"/>
        </w:rPr>
        <w:footnoteRef/>
      </w:r>
      <w:r w:rsidRPr="006E28E9">
        <w:rPr>
          <w:rtl/>
        </w:rPr>
        <w:t xml:space="preserve">. انظر: </w:t>
      </w:r>
      <w:r w:rsidRPr="008C7124">
        <w:rPr>
          <w:rStyle w:val="Char9"/>
          <w:sz w:val="20"/>
          <w:szCs w:val="20"/>
          <w:rtl/>
        </w:rPr>
        <w:t>مجل</w:t>
      </w:r>
      <w:r w:rsidRPr="008C7124">
        <w:rPr>
          <w:rStyle w:val="Char9"/>
          <w:rFonts w:hint="cs"/>
          <w:sz w:val="20"/>
          <w:szCs w:val="20"/>
          <w:rtl/>
        </w:rPr>
        <w:t>ه</w:t>
      </w:r>
      <w:r w:rsidRPr="008C7124">
        <w:rPr>
          <w:rStyle w:val="Char9"/>
          <w:sz w:val="20"/>
          <w:szCs w:val="20"/>
          <w:rtl/>
        </w:rPr>
        <w:t xml:space="preserve"> تار</w:t>
      </w:r>
      <w:r>
        <w:rPr>
          <w:rStyle w:val="Char9"/>
          <w:sz w:val="20"/>
          <w:szCs w:val="20"/>
          <w:rtl/>
        </w:rPr>
        <w:t>ی</w:t>
      </w:r>
      <w:r w:rsidRPr="008C7124">
        <w:rPr>
          <w:rStyle w:val="Char9"/>
          <w:sz w:val="20"/>
          <w:szCs w:val="20"/>
          <w:rtl/>
        </w:rPr>
        <w:t>خ فرهنگ معاصر</w:t>
      </w:r>
      <w:r w:rsidRPr="006E28E9">
        <w:rPr>
          <w:rtl/>
        </w:rPr>
        <w:t xml:space="preserve"> [مجلة تاريخ الثقافة المعاصرة]، العدد 6، ص 215-216، وقد أرسل آية الله الكاشاني عقب ذلك عدة رسائل أخرى في هذا الصدد. </w:t>
      </w:r>
    </w:p>
  </w:footnote>
  <w:footnote w:id="59">
    <w:p w:rsidR="008C7124" w:rsidRPr="006E28E9" w:rsidRDefault="008C7124" w:rsidP="0092648A">
      <w:pPr>
        <w:pStyle w:val="FootnoteText"/>
        <w:rPr>
          <w:rtl/>
        </w:rPr>
      </w:pPr>
      <w:r w:rsidRPr="006E28E9">
        <w:rPr>
          <w:rFonts w:ascii="Arabic11 BT" w:hAnsi="Arabic11 BT" w:cs="Arabic11 BT"/>
        </w:rPr>
        <w:footnoteRef/>
      </w:r>
      <w:r w:rsidRPr="006E28E9">
        <w:rPr>
          <w:rtl/>
        </w:rPr>
        <w:t>. تم القبض على السيد كاشاني الذي كان منشغلاً بانتخابات المجلس النيابي الرابع عشر، سنة 1323هـ.ش/ 1944م</w:t>
      </w:r>
      <w:r w:rsidRPr="006E28E9">
        <w:rPr>
          <w:rFonts w:hint="cs"/>
          <w:rtl/>
        </w:rPr>
        <w:t>،</w:t>
      </w:r>
      <w:r w:rsidRPr="006E28E9">
        <w:rPr>
          <w:rtl/>
        </w:rPr>
        <w:t xml:space="preserve"> وبعد أن أمضى 28 شهر</w:t>
      </w:r>
      <w:r w:rsidRPr="006E28E9">
        <w:rPr>
          <w:rFonts w:hint="cs"/>
          <w:rtl/>
        </w:rPr>
        <w:t>ً</w:t>
      </w:r>
      <w:r w:rsidRPr="006E28E9">
        <w:rPr>
          <w:rtl/>
        </w:rPr>
        <w:t>ا في سجون أراك وكرمانشاه، أطلق سراحه سنة 1324 هـ.ش/</w:t>
      </w:r>
      <w:r w:rsidRPr="006E28E9">
        <w:rPr>
          <w:rFonts w:hint="cs"/>
          <w:rtl/>
        </w:rPr>
        <w:t xml:space="preserve"> </w:t>
      </w:r>
      <w:r w:rsidRPr="006E28E9">
        <w:rPr>
          <w:rtl/>
        </w:rPr>
        <w:t xml:space="preserve">1946م، فعاد من جديد إلى ممارسة نشاطاته السياسية- الدينية، </w:t>
      </w:r>
      <w:r w:rsidRPr="006E28E9">
        <w:rPr>
          <w:rFonts w:hint="cs"/>
          <w:rtl/>
        </w:rPr>
        <w:t>و</w:t>
      </w:r>
      <w:r w:rsidRPr="006E28E9">
        <w:rPr>
          <w:rtl/>
        </w:rPr>
        <w:t>لدى عودته من أراك، استقلبه مراجع التقليد في قم، ودخل إلى قم وسط المستقبلين الذين اصطفوا على مسافة عدة فراسخ قبل قم لاستقباله وكان من بينهم عدد من علماء الدين البارزين.</w:t>
      </w:r>
      <w:r w:rsidRPr="006E28E9">
        <w:rPr>
          <w:rFonts w:hint="cs"/>
          <w:rtl/>
        </w:rPr>
        <w:t xml:space="preserve"> </w:t>
      </w:r>
      <w:r w:rsidRPr="006E28E9">
        <w:rPr>
          <w:rtl/>
        </w:rPr>
        <w:t xml:space="preserve">(انظر: </w:t>
      </w:r>
      <w:r w:rsidRPr="006E28E9">
        <w:rPr>
          <w:b/>
          <w:bCs/>
          <w:rtl/>
        </w:rPr>
        <w:t>آثار الحجة</w:t>
      </w:r>
      <w:r w:rsidRPr="006E28E9">
        <w:rPr>
          <w:rtl/>
        </w:rPr>
        <w:t xml:space="preserve">، ج1، ص 127-128)، واعتقل مرة ثانية بعد فترة من الزمن ثم أطلق سراحه من جديد </w:t>
      </w:r>
      <w:r w:rsidRPr="006E28E9">
        <w:rPr>
          <w:rFonts w:hint="cs"/>
          <w:rtl/>
        </w:rPr>
        <w:t xml:space="preserve">في أواسط </w:t>
      </w:r>
      <w:r w:rsidRPr="006E28E9">
        <w:rPr>
          <w:rtl/>
        </w:rPr>
        <w:t>عام 1326هـ.ش/ 1947م</w:t>
      </w:r>
      <w:r w:rsidRPr="006E28E9">
        <w:rPr>
          <w:rFonts w:hint="cs"/>
          <w:rtl/>
        </w:rPr>
        <w:t>.</w:t>
      </w:r>
      <w:r w:rsidRPr="006E28E9">
        <w:rPr>
          <w:rtl/>
        </w:rPr>
        <w:t xml:space="preserve"> نشرت مجلة «</w:t>
      </w:r>
      <w:r w:rsidRPr="008C7124">
        <w:rPr>
          <w:rStyle w:val="Char9"/>
          <w:sz w:val="20"/>
          <w:szCs w:val="20"/>
          <w:rtl/>
        </w:rPr>
        <w:t>آ</w:t>
      </w:r>
      <w:r>
        <w:rPr>
          <w:rStyle w:val="Char9"/>
          <w:sz w:val="20"/>
          <w:szCs w:val="20"/>
          <w:rtl/>
        </w:rPr>
        <w:t>یی</w:t>
      </w:r>
      <w:r w:rsidRPr="008C7124">
        <w:rPr>
          <w:rStyle w:val="Char9"/>
          <w:sz w:val="20"/>
          <w:szCs w:val="20"/>
          <w:rtl/>
        </w:rPr>
        <w:t>ن اسلام</w:t>
      </w:r>
      <w:r w:rsidRPr="006E28E9">
        <w:rPr>
          <w:rtl/>
        </w:rPr>
        <w:t xml:space="preserve">» سنة 3، عدد 14، ص 22-23 أول شرح لسيرة آية الله الكاشاني. </w:t>
      </w:r>
    </w:p>
  </w:footnote>
  <w:footnote w:id="60">
    <w:p w:rsidR="008C7124" w:rsidRPr="006E28E9" w:rsidRDefault="008C7124" w:rsidP="0092648A">
      <w:pPr>
        <w:pStyle w:val="FootnoteText"/>
      </w:pPr>
      <w:r w:rsidRPr="006E28E9">
        <w:rPr>
          <w:rFonts w:ascii="Arabic11 BT" w:hAnsi="Arabic11 BT" w:cs="Arabic11 BT"/>
        </w:rPr>
        <w:footnoteRef/>
      </w:r>
      <w:r w:rsidRPr="006E28E9">
        <w:rPr>
          <w:rtl/>
        </w:rPr>
        <w:t xml:space="preserve">. جاء في </w:t>
      </w:r>
      <w:r w:rsidRPr="006E28E9">
        <w:rPr>
          <w:rFonts w:hint="cs"/>
          <w:rtl/>
        </w:rPr>
        <w:t xml:space="preserve">جزء من </w:t>
      </w:r>
      <w:r w:rsidRPr="006E28E9">
        <w:rPr>
          <w:rtl/>
        </w:rPr>
        <w:t>هذه المدونة، بعد الإشارة إلى لزوم النهوض والثورة لأجل الله كما نهض موسى الكليم، ما يأتي: « ثورة لأجل الذات حيث قام شخص مازندراني أميٌّ جاهلٌ -رضا خان- بالسيطرة على مجموعة من عدة ملايين واستباح حرثهم ونسلهم طُعْمة لشهواته. الثورة من أجل المصلحة الشخصية لكل إنسان، حيث تم الآن أيضًا تسليط بضعة أطفال من أبناء الشوارع في كل البلاد على أموال المسلمين ونفوسهم وأعراضهم. الثورة ضد النفس الأمارة وذلك لأن مدارس العلم والمعرفة سُل</w:t>
      </w:r>
      <w:r w:rsidRPr="006E28E9">
        <w:rPr>
          <w:rFonts w:hint="cs"/>
          <w:rtl/>
        </w:rPr>
        <w:t>ِّ</w:t>
      </w:r>
      <w:r w:rsidRPr="006E28E9">
        <w:rPr>
          <w:rtl/>
        </w:rPr>
        <w:t xml:space="preserve">مت لحفنة من الأطفال السذج وحولت مراكز علم القرآن إلى مراكز دعارة. الثورة لأجل الذات لأن أوقاف المدارس والأوساط الدينية سُلِّمت مجانًا لحفنة من الفاسقين الفجرة ولم يعترض أحد على ذلك بكلمة. الثورة لأجل النفس لأن عباءة العفة نُزعت من رؤوس المسلمات العفيفات وما زال هذا الأمر مستمرًا إلى الآن، خلافًا للدين والقانون ولا ينهض أحد لمعارضة ذلك... يا شيوخ الدين الإسلامي! أيها العلماء المتدينون!... ما عذركم اليوم عند رب العالمين؟ لقد رأيتم جميعًا </w:t>
      </w:r>
      <w:r w:rsidRPr="006E28E9">
        <w:rPr>
          <w:rFonts w:hint="cs"/>
          <w:rtl/>
        </w:rPr>
        <w:t xml:space="preserve">ما </w:t>
      </w:r>
      <w:r w:rsidRPr="006E28E9">
        <w:rPr>
          <w:rtl/>
        </w:rPr>
        <w:t>كتب</w:t>
      </w:r>
      <w:r w:rsidRPr="006E28E9">
        <w:rPr>
          <w:rFonts w:hint="cs"/>
          <w:rtl/>
        </w:rPr>
        <w:t>ه</w:t>
      </w:r>
      <w:r w:rsidRPr="006E28E9">
        <w:rPr>
          <w:rtl/>
        </w:rPr>
        <w:t xml:space="preserve"> فرد</w:t>
      </w:r>
      <w:r w:rsidRPr="006E28E9">
        <w:rPr>
          <w:rFonts w:hint="cs"/>
          <w:rtl/>
        </w:rPr>
        <w:t>ٌ</w:t>
      </w:r>
      <w:r w:rsidRPr="006E28E9">
        <w:rPr>
          <w:rtl/>
        </w:rPr>
        <w:t xml:space="preserve"> تبريزي</w:t>
      </w:r>
      <w:r w:rsidRPr="006E28E9">
        <w:rPr>
          <w:rFonts w:hint="cs"/>
          <w:rtl/>
        </w:rPr>
        <w:t>ٌّ</w:t>
      </w:r>
      <w:r w:rsidRPr="006E28E9">
        <w:rPr>
          <w:rtl/>
        </w:rPr>
        <w:t xml:space="preserve"> -أحمد الكسروي- ساقط</w:t>
      </w:r>
      <w:r w:rsidRPr="006E28E9">
        <w:rPr>
          <w:rFonts w:hint="cs"/>
          <w:rtl/>
        </w:rPr>
        <w:t>ٌ</w:t>
      </w:r>
      <w:r w:rsidRPr="006E28E9">
        <w:rPr>
          <w:rtl/>
        </w:rPr>
        <w:t xml:space="preserve"> عديم الأصل</w:t>
      </w:r>
      <w:r w:rsidRPr="006E28E9">
        <w:rPr>
          <w:rFonts w:hint="cs"/>
          <w:rtl/>
        </w:rPr>
        <w:t>،</w:t>
      </w:r>
      <w:r w:rsidRPr="006E28E9">
        <w:rPr>
          <w:rtl/>
        </w:rPr>
        <w:t xml:space="preserve"> </w:t>
      </w:r>
      <w:r w:rsidRPr="006E28E9">
        <w:rPr>
          <w:rFonts w:hint="cs"/>
          <w:rtl/>
        </w:rPr>
        <w:t>وكيف</w:t>
      </w:r>
      <w:r w:rsidRPr="006E28E9">
        <w:rPr>
          <w:rtl/>
        </w:rPr>
        <w:t xml:space="preserve"> شتم دينكم كله وتجرأ كل تلك الجرأة في مركز التشيع على الإمام الصادق والإمام الغائب- روحي له الفداء- ولم تصدر عنكم أي كلمة. أي عذر لكم اليوم أمام محكمة الله</w:t>
      </w:r>
      <w:r w:rsidRPr="006E28E9">
        <w:rPr>
          <w:rFonts w:hint="cs"/>
          <w:rtl/>
        </w:rPr>
        <w:t>؟</w:t>
      </w:r>
      <w:r w:rsidRPr="006E28E9">
        <w:rPr>
          <w:rtl/>
        </w:rPr>
        <w:t xml:space="preserve"> ... الحادي عشر من جمادى الأولى 1363 هـ.ق. انظر: </w:t>
      </w:r>
      <w:r w:rsidRPr="008C7124">
        <w:rPr>
          <w:rStyle w:val="Char9"/>
          <w:sz w:val="20"/>
          <w:szCs w:val="20"/>
          <w:rtl/>
        </w:rPr>
        <w:t>صح</w:t>
      </w:r>
      <w:r>
        <w:rPr>
          <w:rStyle w:val="Char9"/>
          <w:sz w:val="20"/>
          <w:szCs w:val="20"/>
          <w:rtl/>
        </w:rPr>
        <w:t>ی</w:t>
      </w:r>
      <w:r w:rsidRPr="008C7124">
        <w:rPr>
          <w:rStyle w:val="Char9"/>
          <w:sz w:val="20"/>
          <w:szCs w:val="20"/>
          <w:rtl/>
        </w:rPr>
        <w:t>فه امام</w:t>
      </w:r>
      <w:r w:rsidRPr="006E28E9">
        <w:rPr>
          <w:rtl/>
        </w:rPr>
        <w:t xml:space="preserve"> [صحيفة الإمام]، ج 1، ص 21 -23.</w:t>
      </w:r>
    </w:p>
  </w:footnote>
  <w:footnote w:id="61">
    <w:p w:rsidR="008C7124" w:rsidRPr="006E28E9" w:rsidRDefault="008C7124" w:rsidP="0092648A">
      <w:pPr>
        <w:pStyle w:val="FootnoteText"/>
      </w:pPr>
      <w:r w:rsidRPr="006E28E9">
        <w:rPr>
          <w:rFonts w:ascii="Arabic11 BT" w:hAnsi="Arabic11 BT" w:cs="Arabic11 BT"/>
        </w:rPr>
        <w:footnoteRef/>
      </w:r>
      <w:r w:rsidRPr="006E28E9">
        <w:rPr>
          <w:rFonts w:hint="cs"/>
          <w:rtl/>
        </w:rPr>
        <w:t>. مجلة «</w:t>
      </w:r>
      <w:r w:rsidRPr="008C7124">
        <w:rPr>
          <w:rStyle w:val="Char9"/>
          <w:rFonts w:hint="cs"/>
          <w:sz w:val="20"/>
          <w:szCs w:val="20"/>
          <w:rtl/>
        </w:rPr>
        <w:t>مرد امروز</w:t>
      </w:r>
      <w:r w:rsidRPr="006E28E9">
        <w:rPr>
          <w:rFonts w:hint="cs"/>
          <w:rtl/>
        </w:rPr>
        <w:t>» ، 30 تير ماه 1324 هـ.ش/ 21 يوليو (تموز) 1945م، العدد 40. وكتب الكاتب نفسه في العدد 43 من المجلة ذاتها (13 مرداد 1324 هـ.ش/4 أغسطس (آب) 1945م) مقالًا تحت عنوان «يتسولون بواسطة العمامة»</w:t>
      </w:r>
      <w:r w:rsidRPr="006E28E9">
        <w:rPr>
          <w:rtl/>
        </w:rPr>
        <w:t xml:space="preserve"> </w:t>
      </w:r>
      <w:r w:rsidRPr="006E28E9">
        <w:rPr>
          <w:rFonts w:hint="cs"/>
          <w:rtl/>
        </w:rPr>
        <w:t>انتقد فيه بشدة-في معرض إشارته إلى القانون الذي صادق عليه المجلس النيابي السابع حول اللباس الموحد- عودة شيوع لبس العباءة والعمامة، وكتب في نهاية المقال يقول: «من الواضح لكل إنسان أن الدين والمذهب عقيدة شخصية تستند إلى الإيمان والعلاقة بين العبد وربه، وإذا أراد رجال الدين أن يمدوا أرجلهم خارج ألحفتهم أي خارج الأمور الدينية وأن يتدخّلوا في الأمور الدنيوية، فإنهم يثبتون بذلك أنهم ليسوا رجال دين بل هم رجال الدنيا» .</w:t>
      </w:r>
    </w:p>
  </w:footnote>
  <w:footnote w:id="62">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للاطلاع على جانب من نضال مثقفي تلك المرحلة ضد الدين، انظر: </w:t>
      </w:r>
      <w:r w:rsidRPr="008C7124">
        <w:rPr>
          <w:rStyle w:val="Char9"/>
          <w:rFonts w:hint="cs"/>
          <w:sz w:val="20"/>
          <w:szCs w:val="20"/>
          <w:rtl/>
        </w:rPr>
        <w:t xml:space="preserve">قتل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Fonts w:hint="cs"/>
          <w:rtl/>
        </w:rPr>
        <w:t>، ص 135 - 141.</w:t>
      </w:r>
      <w:r w:rsidRPr="006E28E9">
        <w:rPr>
          <w:rtl/>
        </w:rPr>
        <w:t xml:space="preserve"> </w:t>
      </w:r>
    </w:p>
  </w:footnote>
  <w:footnote w:id="63">
    <w:p w:rsidR="008C7124" w:rsidRPr="006E28E9" w:rsidRDefault="008C7124" w:rsidP="0092648A">
      <w:pPr>
        <w:pStyle w:val="FootnoteText"/>
      </w:pPr>
      <w:r w:rsidRPr="006E28E9">
        <w:rPr>
          <w:rFonts w:ascii="Arabic11 BT" w:hAnsi="Arabic11 BT" w:cs="Arabic11 BT"/>
        </w:rPr>
        <w:footnoteRef/>
      </w:r>
      <w:r w:rsidRPr="006E28E9">
        <w:rPr>
          <w:rFonts w:hint="cs"/>
          <w:rtl/>
        </w:rPr>
        <w:t>.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[شريعة الإسلام]، السنة الثالثة، العدد 40، ص 6 و 37.</w:t>
      </w:r>
    </w:p>
  </w:footnote>
  <w:footnote w:id="64">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يعتبر عزت الله سحابي أن التعارف بين بازركان ومحمود الطالقاني تم سنة 1321 هـ.ش/1942م خلال جلسات التفسير التي كان يعقدها المرحوم أبو الحسن الطالقاني في مسجد منشور السلطان الذي كان قد تم بناؤه حديثًا (انظر: </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م قرن خاطره</w:t>
      </w:r>
      <w:r w:rsidRPr="006E28E9">
        <w:rPr>
          <w:rFonts w:hint="cs"/>
          <w:rtl/>
        </w:rPr>
        <w:t xml:space="preserve"> [ذكريات نصف قرن]، ص 83)، ولكن استناداً إلى تعرُّف والد طالقاني و والد بازركان على بعضهما قبل ذلك، لابد أن يكون تعرف الابنين أيضًا قد تم قبل سنوات من بدء انعقاد تلك الجلسات.</w:t>
      </w:r>
    </w:p>
  </w:footnote>
  <w:footnote w:id="65">
    <w:p w:rsidR="008C7124" w:rsidRPr="006E28E9" w:rsidRDefault="008C7124" w:rsidP="0092648A">
      <w:pPr>
        <w:pStyle w:val="FootnoteText"/>
      </w:pPr>
      <w:r w:rsidRPr="006E28E9">
        <w:rPr>
          <w:rFonts w:ascii="Arabic11 BT" w:hAnsi="Arabic11 BT" w:cs="Arabic11 BT"/>
        </w:rPr>
        <w:footnoteRef/>
      </w:r>
      <w:r w:rsidRPr="006E28E9">
        <w:rPr>
          <w:rFonts w:hint="cs"/>
          <w:rtl/>
        </w:rPr>
        <w:t>. انظر: «</w:t>
      </w:r>
      <w:r w:rsidRPr="008C7124">
        <w:rPr>
          <w:rStyle w:val="Char9"/>
          <w:rFonts w:hint="cs"/>
          <w:sz w:val="20"/>
          <w:szCs w:val="20"/>
          <w:rtl/>
        </w:rPr>
        <w:t>هفتاد سال</w:t>
      </w:r>
      <w:r w:rsidRPr="006E28E9">
        <w:rPr>
          <w:rFonts w:hint="cs"/>
          <w:rtl/>
        </w:rPr>
        <w:t>» [سبعون عاماً] ص 29، 195 - 196.</w:t>
      </w:r>
    </w:p>
  </w:footnote>
  <w:footnote w:id="66">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كان مقال السيد خونساري يقع في صفحتين وعنوانه «اختلافات ديني» [الاختلافات الدينية]، وطُبِع في العدد الخامس من السنة الأولى لمجلة </w:t>
      </w:r>
      <w:r w:rsidRPr="008C7124">
        <w:rPr>
          <w:rStyle w:val="Char9"/>
          <w:rFonts w:hint="cs"/>
          <w:sz w:val="20"/>
          <w:szCs w:val="20"/>
          <w:rtl/>
        </w:rPr>
        <w:t>هُما</w:t>
      </w:r>
      <w:r>
        <w:rPr>
          <w:rStyle w:val="Char9"/>
          <w:rFonts w:hint="cs"/>
          <w:sz w:val="20"/>
          <w:szCs w:val="20"/>
          <w:rtl/>
        </w:rPr>
        <w:t>ی</w:t>
      </w:r>
      <w:r w:rsidRPr="008C7124">
        <w:rPr>
          <w:rStyle w:val="Char9"/>
          <w:rFonts w:hint="cs"/>
          <w:sz w:val="20"/>
          <w:szCs w:val="20"/>
          <w:rtl/>
        </w:rPr>
        <w:t>ون</w:t>
      </w:r>
      <w:r w:rsidRPr="006E28E9">
        <w:rPr>
          <w:rFonts w:hint="cs"/>
          <w:rtl/>
        </w:rPr>
        <w:t xml:space="preserve">، وقال المؤلف في آخره: «لقد تمت مناقشة خلاصة هذا المقال مع أستاذنا العلامة حضرة آية الله الحاج الشيخ عبد الكريم - دام ظله العالي - وقد تفضَّل حضرته بتأييد هذا المعنى قائلاً: إن من مصلحة المسلمين في عالم اليوم ألا تكون بينهم هذه المنازعات، وكان حجة الإسلام السيد الحاج محسن الأمين الشامي حاضرًا في تلك الجلسة وصادق على هذا الكلام وأيَّد أن صلاح المسلمين في هذا الأمر. وكان مقال السيد حسين بُدلاء أيضًا في أربع صفحات وكان المقال ترجمة لمقال عربي نُشِرَ في مجلة الفتح التي تصدر في مصر. وقد طُبِعَت هذه الترجمة في العدد التاسع من السنة الأولى لمجلة </w:t>
      </w:r>
      <w:r w:rsidRPr="008C7124">
        <w:rPr>
          <w:rStyle w:val="Char9"/>
          <w:rFonts w:hint="cs"/>
          <w:sz w:val="20"/>
          <w:szCs w:val="20"/>
          <w:rtl/>
        </w:rPr>
        <w:t>هُما</w:t>
      </w:r>
      <w:r>
        <w:rPr>
          <w:rStyle w:val="Char9"/>
          <w:rFonts w:hint="cs"/>
          <w:sz w:val="20"/>
          <w:szCs w:val="20"/>
          <w:rtl/>
        </w:rPr>
        <w:t>ی</w:t>
      </w:r>
      <w:r w:rsidRPr="008C7124">
        <w:rPr>
          <w:rStyle w:val="Char9"/>
          <w:rFonts w:hint="cs"/>
          <w:sz w:val="20"/>
          <w:szCs w:val="20"/>
          <w:rtl/>
        </w:rPr>
        <w:t>ون</w:t>
      </w:r>
      <w:r w:rsidRPr="006E28E9">
        <w:rPr>
          <w:rFonts w:hint="cs"/>
          <w:rtl/>
        </w:rPr>
        <w:t xml:space="preserve">، ص 15 - 18. يمكننا أن ندرك من بين السطور موافقة الحاج الشيخ الحائري لهذه الجماعة، مما يدل على نزعة إصلاحية لديه في بعض الأمور». </w:t>
      </w:r>
    </w:p>
  </w:footnote>
  <w:footnote w:id="67">
    <w:p w:rsidR="008C7124" w:rsidRPr="006E28E9" w:rsidRDefault="008C7124" w:rsidP="0092648A">
      <w:pPr>
        <w:pStyle w:val="FootnoteText"/>
      </w:pPr>
      <w:r w:rsidRPr="006E28E9">
        <w:rPr>
          <w:rFonts w:ascii="Arabic11 BT" w:hAnsi="Arabic11 BT" w:cs="Arabic11 BT"/>
        </w:rPr>
        <w:footnoteRef/>
      </w:r>
      <w:r w:rsidRPr="006E28E9">
        <w:rPr>
          <w:rFonts w:hint="cs"/>
          <w:rtl/>
        </w:rPr>
        <w:t>. تعبير «ذهب إلى القاضي وحده» تعبير مجازي في اللغة الفارسية، يُقال لمن ينفرد بدعواه ولا يسمح لأحد بسماع رأي الخصم وموقفه من القضية. ومقصود حكمي زاده هنا أن علماء الدين الشيعة يفتون ويفسرون الدين وحدهم، و</w:t>
      </w:r>
      <w:r w:rsidRPr="006E28E9">
        <w:rPr>
          <w:rtl/>
        </w:rPr>
        <w:t xml:space="preserve">لا يُتيحون لأحد </w:t>
      </w:r>
      <w:r w:rsidRPr="006E28E9">
        <w:rPr>
          <w:rFonts w:hint="cs"/>
          <w:rtl/>
        </w:rPr>
        <w:t>مناقشتهم</w:t>
      </w:r>
      <w:r w:rsidRPr="006E28E9">
        <w:rPr>
          <w:rtl/>
        </w:rPr>
        <w:t xml:space="preserve"> في أقوالهم وتفسيراتهم للدين </w:t>
      </w:r>
      <w:r w:rsidRPr="006E28E9">
        <w:rPr>
          <w:rFonts w:hint="cs"/>
          <w:rtl/>
        </w:rPr>
        <w:t>أي أنهم</w:t>
      </w:r>
      <w:r w:rsidRPr="006E28E9">
        <w:rPr>
          <w:rtl/>
        </w:rPr>
        <w:t xml:space="preserve"> يحتكرون لأنفسهم </w:t>
      </w:r>
      <w:r w:rsidRPr="006E28E9">
        <w:rPr>
          <w:rFonts w:hint="cs"/>
          <w:rtl/>
        </w:rPr>
        <w:t xml:space="preserve">وحدهم </w:t>
      </w:r>
      <w:r w:rsidRPr="006E28E9">
        <w:rPr>
          <w:rtl/>
        </w:rPr>
        <w:t>الحق في بيان حقائق الدين</w:t>
      </w:r>
      <w:r w:rsidRPr="006E28E9">
        <w:rPr>
          <w:rFonts w:hint="cs"/>
          <w:rtl/>
        </w:rPr>
        <w:t xml:space="preserve"> وتفسيرها. (المُتَرْجِمُ)</w:t>
      </w:r>
    </w:p>
  </w:footnote>
  <w:footnote w:id="6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يوافق شهري أغسطس (آب) و سبتمبر (أيلول) من عام 1943م. (المُتَرْجِمُ)</w:t>
      </w:r>
    </w:p>
  </w:footnote>
  <w:footnote w:id="69">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انظر: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جرا</w:t>
      </w:r>
      <w:r>
        <w:rPr>
          <w:rStyle w:val="Char9"/>
          <w:rFonts w:hint="cs"/>
          <w:sz w:val="20"/>
          <w:szCs w:val="20"/>
          <w:rtl/>
        </w:rPr>
        <w:t>ی</w:t>
      </w:r>
      <w:r w:rsidRPr="008C7124">
        <w:rPr>
          <w:rStyle w:val="Char9"/>
          <w:rFonts w:hint="cs"/>
          <w:sz w:val="20"/>
          <w:szCs w:val="20"/>
          <w:rtl/>
        </w:rPr>
        <w:t>د ومجلات إ</w:t>
      </w:r>
      <w:r>
        <w:rPr>
          <w:rStyle w:val="Char9"/>
          <w:rFonts w:hint="cs"/>
          <w:sz w:val="20"/>
          <w:szCs w:val="20"/>
          <w:rtl/>
        </w:rPr>
        <w:t>ی</w:t>
      </w:r>
      <w:r w:rsidRPr="008C7124">
        <w:rPr>
          <w:rStyle w:val="Char9"/>
          <w:rFonts w:hint="cs"/>
          <w:sz w:val="20"/>
          <w:szCs w:val="20"/>
          <w:rtl/>
        </w:rPr>
        <w:t>ران</w:t>
      </w:r>
      <w:r w:rsidRPr="006E28E9">
        <w:rPr>
          <w:rFonts w:hint="cs"/>
          <w:rtl/>
        </w:rPr>
        <w:t>، ج 4، ص 338 - 339.</w:t>
      </w:r>
      <w:r w:rsidRPr="006E28E9">
        <w:rPr>
          <w:rtl/>
        </w:rPr>
        <w:t xml:space="preserve"> </w:t>
      </w:r>
    </w:p>
  </w:footnote>
  <w:footnote w:id="70">
    <w:p w:rsidR="008C7124" w:rsidRPr="006E28E9" w:rsidRDefault="008C7124" w:rsidP="0092648A">
      <w:pPr>
        <w:pStyle w:val="FootnoteText"/>
      </w:pPr>
      <w:r w:rsidRPr="006E28E9">
        <w:rPr>
          <w:rFonts w:ascii="Arabic11 BT" w:hAnsi="Arabic11 BT" w:cs="Arabic11 BT"/>
        </w:rPr>
        <w:footnoteRef/>
      </w:r>
      <w:r w:rsidRPr="006E28E9">
        <w:rPr>
          <w:rFonts w:hint="cs"/>
          <w:rtl/>
        </w:rPr>
        <w:t>. انظر</w:t>
      </w:r>
      <w:r w:rsidRPr="006E28E9">
        <w:rPr>
          <w:rFonts w:hint="cs"/>
          <w:rtl/>
          <w:lang w:bidi="ar-SY"/>
        </w:rPr>
        <w:t>:</w:t>
      </w:r>
      <w:r w:rsidRPr="006E28E9">
        <w:rPr>
          <w:rFonts w:hint="cs"/>
          <w:rtl/>
        </w:rPr>
        <w:t xml:space="preserve"> العدد الأول من السنة الثانية، ص 67، حيث نجد التوضيح الذي كتبه كسروي حول مجلة همايون الشهرية كما نلاحظ بشكل خاص ثناءه البالغ على ما كتبه البرقعي حول الشعر. </w:t>
      </w:r>
    </w:p>
  </w:footnote>
  <w:footnote w:id="71">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علما و رژ</w:t>
      </w:r>
      <w:r>
        <w:rPr>
          <w:rStyle w:val="Char9"/>
          <w:rFonts w:hint="cs"/>
          <w:sz w:val="20"/>
          <w:szCs w:val="20"/>
          <w:rtl/>
        </w:rPr>
        <w:t>ی</w:t>
      </w:r>
      <w:r w:rsidRPr="008C7124">
        <w:rPr>
          <w:rStyle w:val="Char9"/>
          <w:rFonts w:hint="cs"/>
          <w:sz w:val="20"/>
          <w:szCs w:val="20"/>
          <w:rtl/>
        </w:rPr>
        <w:t>م رضا خان</w:t>
      </w:r>
      <w:r w:rsidRPr="006E28E9">
        <w:rPr>
          <w:rFonts w:hint="cs"/>
          <w:rtl/>
        </w:rPr>
        <w:t xml:space="preserve"> [العلماء ونظام الملك رضا خان]، ص 286.</w:t>
      </w:r>
    </w:p>
  </w:footnote>
  <w:footnote w:id="72">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6E28E9">
        <w:rPr>
          <w:rFonts w:hint="cs"/>
          <w:b/>
          <w:bCs/>
          <w:rtl/>
        </w:rPr>
        <w:t>المصدر نفسه</w:t>
      </w:r>
      <w:r w:rsidRPr="006E28E9">
        <w:rPr>
          <w:rFonts w:hint="cs"/>
          <w:rtl/>
        </w:rPr>
        <w:t>، ص 285 - 287. لاشك أن ميول ونزعات جميع الأفراد الذين كانوا يكتبون في هذه المجلة لم تكن واحدة. وقد ذكر السيد صدر هاشمي أسماء بعض الكتاب في هذه المجلة في كتابه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جرا</w:t>
      </w:r>
      <w:r>
        <w:rPr>
          <w:rStyle w:val="Char9"/>
          <w:rFonts w:hint="cs"/>
          <w:sz w:val="20"/>
          <w:szCs w:val="20"/>
          <w:rtl/>
        </w:rPr>
        <w:t>ی</w:t>
      </w:r>
      <w:r w:rsidRPr="008C7124">
        <w:rPr>
          <w:rStyle w:val="Char9"/>
          <w:rFonts w:hint="cs"/>
          <w:sz w:val="20"/>
          <w:szCs w:val="20"/>
          <w:rtl/>
        </w:rPr>
        <w:t>د ومجلات</w:t>
      </w:r>
      <w:r w:rsidRPr="006E28E9">
        <w:rPr>
          <w:rFonts w:hint="cs"/>
          <w:rtl/>
        </w:rPr>
        <w:t xml:space="preserve">»، ج 4، ص 340. </w:t>
      </w:r>
    </w:p>
  </w:footnote>
  <w:footnote w:id="7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كتاب «</w:t>
      </w:r>
      <w:r w:rsidRPr="008C7124">
        <w:rPr>
          <w:rStyle w:val="Char9"/>
          <w:rFonts w:hint="cs"/>
          <w:sz w:val="20"/>
          <w:szCs w:val="20"/>
          <w:rtl/>
        </w:rPr>
        <w:t>هفتاد سال</w:t>
      </w:r>
      <w:r w:rsidRPr="006E28E9">
        <w:rPr>
          <w:rFonts w:hint="cs"/>
          <w:rtl/>
        </w:rPr>
        <w:t>» [سبعون عامًا]. قال حجة الإسلام والمسلمين أشعري [الذي كانت عمته زوجة حكمي زاده]: كان أبي يقول إنني لم أقرأ كتاب هذا الرجل حتى لا أصبح على علم بتكليفي الشرعي تجاه هذا الشخص. ويبدو أن الإمام الخميني تكلم مع أبي بشأنه. كنت في إحدى السنوات في إحدى قرى مدينة «ساوه» وكنت ما أزال شابًّا يافعًا. كان أبي هناك. قُرع الباب وقيل جاء السيد حكمي. قال أبي دعوه يدخل. وقف حكمي زاده أمام الباب وأبدى احترامه الكبير لوالدي وقال: من أي باب أدخل؟ فأجاب أبي: من بابا الصداقة. دخل ولم يتكلم بشيء سوى السؤال عن الصحة وتفقد الأحوال، ثم ذهب. كنت أذهب بشكل متكرر إلى بيت عمتي وكان يستقبلني بحفاوة ولم يكن يظهر أمامنا أي إنكار للمسائل الدينية. وأحيانًا كان يجاملنا ويدعونا للبقاء عنده. وقال لي في إحدى المرات: لو أن عمتك تريد الذهاب إلى مكة وكربلاء فلن أمنعها من ذلك، بل سأدفع تكاليف ذلك وآخذ على عاتقي كل المسائل المتعلقة بهذا السفر. وقال لي عندما زرته في مناسبة أخرى: لما كنت أبيع كتب أبي رأيت أنه قد كُتب على بعض الكتب كلمة وَقْف. ولا أدري هل تُعتبر هذه الكلمة مستندًا على أن تلك الكتب وقفية أم لا؟ على كل حال لقد فصلتها عن سائر الكتب فخذها وانظر ما هو تكليفها الشرعي فاعمل به أيًّا كان. وفي زيارة أخرى له سأل عن مكة وقال: إني أشعر بشوق ورغبة شديدة في الذهاب إلى مكة، لو استطعت أن أحل مسألة ذبح الأضحية. إن تلك الأضاحي تفسد هناك ويُرمى بها بعيدًا. وكانت ابنته مُحبة للثورة بشدة وكانت تخدم في المستشفيات أثناء الحرب [مع العراق] ولم يكن أبوها يمنعها من ذلك، وفي إحدى المرات جاءت ابنة عمتي هذه مع والدتها (أي عمتي) إلى منزلنا. كانت عمّتي ملتزمة بالصلاة والزيارات وكانت ابنتها معها في تلك الليلة (هذه البنت تبلغ من العمر الآن سبعين عامًا وقد توفيت في شهر آبان من عام 1384 هـ.ش [الموافق لشهر أكتوبر/تشرين الأول 2005م]). وعندما استيقظت في وسط الليل للصلاة وجدت البنت تصلي قيام الليل. هذا يتعلق بما قبل الثورة. لم أكن قد صادفتها تصلي قبل ذلك، وهذا لا يعني أنها لم تكن تصلي. على العكس من ذلك كنت أرى علامات ومظاهر التدين عليها.</w:t>
      </w:r>
    </w:p>
    <w:p w:rsidR="008C7124" w:rsidRPr="006E28E9" w:rsidRDefault="008C7124" w:rsidP="0092648A">
      <w:pPr>
        <w:pStyle w:val="FootnoteText"/>
        <w:rPr>
          <w:rtl/>
        </w:rPr>
      </w:pPr>
      <w:r w:rsidRPr="006E28E9">
        <w:rPr>
          <w:rFonts w:hint="cs"/>
          <w:rtl/>
        </w:rPr>
        <w:tab/>
        <w:t xml:space="preserve">كان عمل حكمي زاده تربية الدواجن، وقد أصبح من أفضل المتخصصين في ذلك في الدنيا، وكان يُدْعى إلى بعض البلدان ليقوم بتعليم كيفية تربية الدواجن، وكان يلبي تلك الدعوات. وما يزال ابنه وحفيده يشتغلان بالمهنة ذاتها. وكان من الناحية المالية رجلاً أمينًا ونزيهًا. ويقول والدي إن حكمي زاده درس حتى مرحلة كتاب الكفاية، ولما كان طالبًا للعلوم الشرعية، كان أحيانًا يصعد المنبر [ويلقي منه المواعظ ويقرأ المراثي]، وكان منبريًّا جيدًا. </w:t>
      </w:r>
    </w:p>
    <w:p w:rsidR="008C7124" w:rsidRPr="006E28E9" w:rsidRDefault="008C7124" w:rsidP="0092648A">
      <w:pPr>
        <w:pStyle w:val="FootnoteText"/>
        <w:rPr>
          <w:rtl/>
        </w:rPr>
      </w:pPr>
      <w:r w:rsidRPr="006E28E9">
        <w:rPr>
          <w:rFonts w:hint="cs"/>
          <w:rtl/>
        </w:rPr>
        <w:tab/>
        <w:t xml:space="preserve">توفي حكمي زاده في 11/7/1366 </w:t>
      </w:r>
      <w:r w:rsidRPr="006E28E9">
        <w:rPr>
          <w:rFonts w:hint="cs"/>
          <w:rtl/>
          <w:lang w:bidi="ar-SY"/>
        </w:rPr>
        <w:t>هـ.ش</w:t>
      </w:r>
      <w:r w:rsidRPr="006E28E9">
        <w:rPr>
          <w:rFonts w:hint="cs"/>
          <w:rtl/>
        </w:rPr>
        <w:t xml:space="preserve"> (الموافق لـ 3/10/1987م) ودفن في مقبرة «بهشت زهراء». وقد صعد ابن اخت الشيخ أشعري إلى المنبر لإلقاء الموعظة في مجلس ترحيمه. وقد تحدثت مرَّةً بنفسي مع الإمام الخميني عنه، ولما علم الإمام أنه لا يزال حيًّا أصغى إلى كلامي بتعجُّب. لا تزال ابنة حكمي زاده حيَّة إلى الآن، وقد ذهبتُ إلى لقائها أمس (17/1/ 1383 هـ.ش) (الموافق لـ 5/4/2004م). قالت ابنته لي إن أبي كان يقول: لا تتحدثوا مع أحد حولي، ولكنها أضافت قائلةً: لقد وجدت مرَّةً رسالةً كتبها أبي إلى كسروي سأله فيها بعض الأسئلة، وأعرب فيها عن إيمانه بالإسلام، وتأييده له، وذلك في بداية انتشار مجلة «پيمان».</w:t>
      </w:r>
    </w:p>
  </w:footnote>
  <w:footnote w:id="74">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انظر: </w:t>
      </w:r>
      <w:r w:rsidRPr="008C7124">
        <w:rPr>
          <w:rStyle w:val="Char9"/>
          <w:rFonts w:hint="cs"/>
          <w:sz w:val="20"/>
          <w:szCs w:val="20"/>
          <w:rtl/>
        </w:rPr>
        <w:t xml:space="preserve">قتل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Fonts w:hint="cs"/>
          <w:rtl/>
        </w:rPr>
        <w:t>، ص 112 - 113.</w:t>
      </w:r>
    </w:p>
  </w:footnote>
  <w:footnote w:id="75">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w:t>
      </w:r>
      <w:r w:rsidRPr="008C7124">
        <w:rPr>
          <w:rStyle w:val="Char9"/>
          <w:rFonts w:hint="cs"/>
          <w:sz w:val="20"/>
          <w:szCs w:val="20"/>
          <w:rtl/>
        </w:rPr>
        <w:t xml:space="preserve">چند سؤال از </w:t>
      </w:r>
      <w:r>
        <w:rPr>
          <w:rStyle w:val="Char9"/>
          <w:rFonts w:hint="cs"/>
          <w:sz w:val="20"/>
          <w:szCs w:val="20"/>
          <w:rtl/>
        </w:rPr>
        <w:t>ک</w:t>
      </w:r>
      <w:r w:rsidRPr="008C7124">
        <w:rPr>
          <w:rStyle w:val="Char9"/>
          <w:rFonts w:hint="cs"/>
          <w:sz w:val="20"/>
          <w:szCs w:val="20"/>
          <w:rtl/>
        </w:rPr>
        <w:t>سروى</w:t>
      </w:r>
      <w:r w:rsidRPr="006E28E9">
        <w:rPr>
          <w:rFonts w:hint="cs"/>
          <w:rtl/>
        </w:rPr>
        <w:t>» [عدة أسئلة موجَّهة إلى كسروي]، ص 65 - 66.</w:t>
      </w:r>
    </w:p>
  </w:footnote>
  <w:footnote w:id="76">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خاطرات ش</w:t>
      </w:r>
      <w:r>
        <w:rPr>
          <w:rStyle w:val="Char9"/>
          <w:rFonts w:hint="cs"/>
          <w:sz w:val="20"/>
          <w:szCs w:val="20"/>
          <w:rtl/>
        </w:rPr>
        <w:t>ی</w:t>
      </w:r>
      <w:r w:rsidRPr="008C7124">
        <w:rPr>
          <w:rStyle w:val="Char9"/>
          <w:rFonts w:hint="cs"/>
          <w:sz w:val="20"/>
          <w:szCs w:val="20"/>
          <w:rtl/>
        </w:rPr>
        <w:t>خ ابراه</w:t>
      </w:r>
      <w:r>
        <w:rPr>
          <w:rStyle w:val="Char9"/>
          <w:rFonts w:hint="cs"/>
          <w:sz w:val="20"/>
          <w:szCs w:val="20"/>
          <w:rtl/>
        </w:rPr>
        <w:t>ی</w:t>
      </w:r>
      <w:r w:rsidRPr="008C7124">
        <w:rPr>
          <w:rStyle w:val="Char9"/>
          <w:rFonts w:hint="cs"/>
          <w:sz w:val="20"/>
          <w:szCs w:val="20"/>
          <w:rtl/>
        </w:rPr>
        <w:t>م زنجانى</w:t>
      </w:r>
      <w:r w:rsidRPr="006E28E9">
        <w:rPr>
          <w:rFonts w:hint="cs"/>
          <w:rtl/>
        </w:rPr>
        <w:t xml:space="preserve"> [مذكرات الشيخ إبراهيم الزنجاني]، طهران، 1379 هـ.ش، ص 34 - 36.</w:t>
      </w:r>
    </w:p>
  </w:footnote>
  <w:footnote w:id="77">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يؤيد هذا أن الشيعة تطلق على الفقيه المرجع أو نائبه لقب: «حاكم الشرع». </w:t>
      </w:r>
      <w:r w:rsidRPr="006E28E9">
        <w:rPr>
          <w:rFonts w:hint="cs"/>
          <w:rtl/>
          <w:lang w:bidi="ar-SY"/>
        </w:rPr>
        <w:t>(المُتَرْجِمُ)</w:t>
      </w:r>
    </w:p>
  </w:footnote>
  <w:footnote w:id="78">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من الجدير بالذكر أن نقد الشيخ خالصي زاده كان أيضًا استجابةً لرسالة الشيخ مهدي الحائري: «حضرة الفاضل والعلامة المحترم العزيز الموقَّر المكرَّم السيد الشيخ مهدي نجل المرحوم شيخ الطائفة السيد الحاج الشيخ عبد الكريم الحائري..... وبعد، وصلت إليَّ رسالتكم الشريفة ورأيت لزاماً عليَّ أن أذكِّر بالأمور الآتية إجابة عنها.....». (انظر: </w:t>
      </w:r>
      <w:r w:rsidRPr="006E28E9">
        <w:rPr>
          <w:rFonts w:hint="cs"/>
          <w:b/>
          <w:bCs/>
          <w:rtl/>
        </w:rPr>
        <w:t>كشف الأستار</w:t>
      </w:r>
      <w:r w:rsidRPr="006E28E9">
        <w:rPr>
          <w:rFonts w:hint="cs"/>
          <w:rtl/>
        </w:rPr>
        <w:t>، ص 2).</w:t>
      </w:r>
    </w:p>
  </w:footnote>
  <w:footnote w:id="79">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هفتاد سال</w:t>
      </w:r>
      <w:r w:rsidRPr="006E28E9">
        <w:rPr>
          <w:rFonts w:hint="cs"/>
          <w:rtl/>
        </w:rPr>
        <w:t xml:space="preserve"> [سبعون عاماً]، ص 199 - 202. </w:t>
      </w:r>
    </w:p>
  </w:footnote>
  <w:footnote w:id="80">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إسلام</w:t>
      </w:r>
      <w:r w:rsidRPr="006E28E9">
        <w:rPr>
          <w:rFonts w:hint="cs"/>
          <w:rtl/>
        </w:rPr>
        <w:t>، العدد 4، السنة 1، 19 فروردين 1323هـ.ش فما بعد.</w:t>
      </w:r>
      <w:r w:rsidRPr="006E28E9">
        <w:rPr>
          <w:rtl/>
        </w:rPr>
        <w:t xml:space="preserve"> </w:t>
      </w:r>
    </w:p>
  </w:footnote>
  <w:footnote w:id="81">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دل</w:t>
      </w:r>
      <w:r>
        <w:rPr>
          <w:rStyle w:val="Char9"/>
          <w:rFonts w:hint="cs"/>
          <w:sz w:val="20"/>
          <w:szCs w:val="20"/>
          <w:rtl/>
        </w:rPr>
        <w:t>ی</w:t>
      </w:r>
      <w:r w:rsidRPr="008C7124">
        <w:rPr>
          <w:rStyle w:val="Char9"/>
          <w:rFonts w:hint="cs"/>
          <w:sz w:val="20"/>
          <w:szCs w:val="20"/>
          <w:rtl/>
        </w:rPr>
        <w:t xml:space="preserve">ل آفتاب، خاطرات </w:t>
      </w:r>
      <w:r>
        <w:rPr>
          <w:rStyle w:val="Char9"/>
          <w:rFonts w:hint="cs"/>
          <w:sz w:val="20"/>
          <w:szCs w:val="20"/>
          <w:rtl/>
        </w:rPr>
        <w:t>ی</w:t>
      </w:r>
      <w:r w:rsidRPr="008C7124">
        <w:rPr>
          <w:rStyle w:val="Char9"/>
          <w:rFonts w:hint="cs"/>
          <w:sz w:val="20"/>
          <w:szCs w:val="20"/>
          <w:rtl/>
        </w:rPr>
        <w:t>ادگار إمام</w:t>
      </w:r>
      <w:r w:rsidRPr="006E28E9">
        <w:rPr>
          <w:rFonts w:hint="cs"/>
          <w:rtl/>
        </w:rPr>
        <w:t xml:space="preserve"> [دليل الشمس، ذكريات الإمام الباقية]، ص 52.</w:t>
      </w:r>
      <w:r w:rsidRPr="006E28E9">
        <w:rPr>
          <w:rtl/>
        </w:rPr>
        <w:t xml:space="preserve"> </w:t>
      </w:r>
    </w:p>
  </w:footnote>
  <w:footnote w:id="82">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Pr>
          <w:rStyle w:val="Char9"/>
          <w:rFonts w:hint="cs"/>
          <w:sz w:val="20"/>
          <w:szCs w:val="20"/>
          <w:rtl/>
        </w:rPr>
        <w:t>ک</w:t>
      </w:r>
      <w:r w:rsidRPr="008C7124">
        <w:rPr>
          <w:rStyle w:val="Char9"/>
          <w:rFonts w:hint="cs"/>
          <w:sz w:val="20"/>
          <w:szCs w:val="20"/>
          <w:rtl/>
        </w:rPr>
        <w:t>شف اسرار</w:t>
      </w:r>
      <w:r w:rsidRPr="006E28E9">
        <w:rPr>
          <w:rFonts w:hint="cs"/>
          <w:rtl/>
        </w:rPr>
        <w:t xml:space="preserve"> [كشف الأسرار]، ص 2. </w:t>
      </w:r>
    </w:p>
  </w:footnote>
  <w:footnote w:id="83">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Pr>
          <w:rStyle w:val="Char9"/>
          <w:rFonts w:hint="cs"/>
          <w:sz w:val="20"/>
          <w:szCs w:val="20"/>
          <w:rtl/>
        </w:rPr>
        <w:t>ک</w:t>
      </w:r>
      <w:r w:rsidRPr="008C7124">
        <w:rPr>
          <w:rStyle w:val="Char9"/>
          <w:rFonts w:hint="cs"/>
          <w:sz w:val="20"/>
          <w:szCs w:val="20"/>
          <w:rtl/>
        </w:rPr>
        <w:t>شف اسرار</w:t>
      </w:r>
      <w:r w:rsidRPr="006E28E9">
        <w:rPr>
          <w:rFonts w:hint="cs"/>
          <w:rtl/>
        </w:rPr>
        <w:t xml:space="preserve"> [كشف الأسرار]، ص 74.</w:t>
      </w:r>
      <w:r w:rsidRPr="006E28E9">
        <w:rPr>
          <w:rtl/>
        </w:rPr>
        <w:t xml:space="preserve"> </w:t>
      </w:r>
    </w:p>
  </w:footnote>
  <w:footnote w:id="84">
    <w:p w:rsidR="008C7124" w:rsidRPr="006E28E9" w:rsidRDefault="008C7124" w:rsidP="0092648A">
      <w:pPr>
        <w:pStyle w:val="FootnoteText"/>
      </w:pPr>
      <w:r w:rsidRPr="006E28E9">
        <w:rPr>
          <w:rFonts w:ascii="Arabic11 BT" w:hAnsi="Arabic11 BT" w:cs="Arabic11 BT"/>
        </w:rPr>
        <w:footnoteRef/>
      </w:r>
      <w:r w:rsidRPr="006E28E9">
        <w:rPr>
          <w:rFonts w:hint="cs"/>
          <w:rtl/>
        </w:rPr>
        <w:t>. جاءت مقالات وأبحاث حول هذا الموضوع ضمن عدد من المقالات طُبعت مع بعضها في مجموعة واحدة: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ش</w:t>
      </w:r>
      <w:r>
        <w:rPr>
          <w:rStyle w:val="Char9"/>
          <w:rFonts w:hint="cs"/>
          <w:sz w:val="20"/>
          <w:szCs w:val="20"/>
          <w:rtl/>
        </w:rPr>
        <w:t>ی</w:t>
      </w:r>
      <w:r w:rsidRPr="008C7124">
        <w:rPr>
          <w:rStyle w:val="Char9"/>
          <w:rFonts w:hint="cs"/>
          <w:sz w:val="20"/>
          <w:szCs w:val="20"/>
          <w:rtl/>
        </w:rPr>
        <w:t>نه ودلا</w:t>
      </w:r>
      <w:r>
        <w:rPr>
          <w:rStyle w:val="Char9"/>
          <w:rFonts w:hint="cs"/>
          <w:sz w:val="20"/>
          <w:szCs w:val="20"/>
          <w:rtl/>
        </w:rPr>
        <w:t>ی</w:t>
      </w:r>
      <w:r w:rsidRPr="008C7124">
        <w:rPr>
          <w:rStyle w:val="Char9"/>
          <w:rFonts w:hint="cs"/>
          <w:sz w:val="20"/>
          <w:szCs w:val="20"/>
          <w:rtl/>
        </w:rPr>
        <w:t>ل ولا</w:t>
      </w:r>
      <w:r>
        <w:rPr>
          <w:rStyle w:val="Char9"/>
          <w:rFonts w:hint="cs"/>
          <w:sz w:val="20"/>
          <w:szCs w:val="20"/>
          <w:rtl/>
        </w:rPr>
        <w:t>ی</w:t>
      </w:r>
      <w:r w:rsidRPr="008C7124">
        <w:rPr>
          <w:rStyle w:val="Char9"/>
          <w:rFonts w:hint="cs"/>
          <w:sz w:val="20"/>
          <w:szCs w:val="20"/>
          <w:rtl/>
        </w:rPr>
        <w:t>ت فق</w:t>
      </w:r>
      <w:r>
        <w:rPr>
          <w:rStyle w:val="Char9"/>
          <w:rFonts w:hint="cs"/>
          <w:sz w:val="20"/>
          <w:szCs w:val="20"/>
          <w:rtl/>
        </w:rPr>
        <w:t>ی</w:t>
      </w:r>
      <w:r w:rsidRPr="008C7124">
        <w:rPr>
          <w:rStyle w:val="Char9"/>
          <w:rFonts w:hint="cs"/>
          <w:sz w:val="20"/>
          <w:szCs w:val="20"/>
          <w:rtl/>
        </w:rPr>
        <w:t>ه</w:t>
      </w:r>
      <w:r w:rsidRPr="006E28E9">
        <w:rPr>
          <w:rFonts w:hint="cs"/>
          <w:rtl/>
        </w:rPr>
        <w:t>» [سوابق ولاية الفقيه وأدلتها] لتشكل المجلد الرابع من مجموعة آثار الإمام الخميني التي طبعها مؤتمر «الإمام الخميني وفكر الحكومة الإسلامية». انظر الصفحات: 84، 147 - 148، 180 - 183، 250، 362 - 363، وانظر أيضًا: «</w:t>
      </w:r>
      <w:r w:rsidRPr="008C7124">
        <w:rPr>
          <w:rStyle w:val="Char9"/>
          <w:rFonts w:hint="cs"/>
          <w:sz w:val="20"/>
          <w:szCs w:val="20"/>
          <w:rtl/>
        </w:rPr>
        <w:t>امام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وح</w:t>
      </w:r>
      <w:r>
        <w:rPr>
          <w:rStyle w:val="Char9"/>
          <w:rFonts w:hint="cs"/>
          <w:sz w:val="20"/>
          <w:szCs w:val="20"/>
          <w:rtl/>
        </w:rPr>
        <w:t>ک</w:t>
      </w:r>
      <w:r w:rsidRPr="008C7124">
        <w:rPr>
          <w:rStyle w:val="Char9"/>
          <w:rFonts w:hint="cs"/>
          <w:sz w:val="20"/>
          <w:szCs w:val="20"/>
          <w:rtl/>
        </w:rPr>
        <w:t>ومت إسلام</w:t>
      </w:r>
      <w:r>
        <w:rPr>
          <w:rStyle w:val="Char9"/>
          <w:rFonts w:hint="cs"/>
          <w:sz w:val="20"/>
          <w:szCs w:val="20"/>
          <w:rtl/>
        </w:rPr>
        <w:t>ی</w:t>
      </w:r>
      <w:r w:rsidRPr="008C7124">
        <w:rPr>
          <w:rStyle w:val="Char9"/>
          <w:rFonts w:hint="cs"/>
          <w:sz w:val="20"/>
          <w:szCs w:val="20"/>
          <w:rtl/>
        </w:rPr>
        <w:t>، مبان</w:t>
      </w:r>
      <w:r>
        <w:rPr>
          <w:rStyle w:val="Char9"/>
          <w:rFonts w:hint="cs"/>
          <w:sz w:val="20"/>
          <w:szCs w:val="20"/>
          <w:rtl/>
        </w:rPr>
        <w:t>ی</w:t>
      </w:r>
      <w:r w:rsidRPr="008C7124">
        <w:rPr>
          <w:rStyle w:val="Char9"/>
          <w:rFonts w:hint="cs"/>
          <w:sz w:val="20"/>
          <w:szCs w:val="20"/>
          <w:rtl/>
        </w:rPr>
        <w:t xml:space="preserve"> </w:t>
      </w:r>
      <w:r>
        <w:rPr>
          <w:rStyle w:val="Char9"/>
          <w:rFonts w:hint="cs"/>
          <w:sz w:val="20"/>
          <w:szCs w:val="20"/>
          <w:rtl/>
        </w:rPr>
        <w:t>ک</w:t>
      </w:r>
      <w:r w:rsidRPr="008C7124">
        <w:rPr>
          <w:rStyle w:val="Char9"/>
          <w:rFonts w:hint="cs"/>
          <w:sz w:val="20"/>
          <w:szCs w:val="20"/>
          <w:rtl/>
        </w:rPr>
        <w:t>لام</w:t>
      </w:r>
      <w:r>
        <w:rPr>
          <w:rStyle w:val="Char9"/>
          <w:rFonts w:hint="cs"/>
          <w:sz w:val="20"/>
          <w:szCs w:val="20"/>
          <w:rtl/>
        </w:rPr>
        <w:t>ی</w:t>
      </w:r>
      <w:r w:rsidRPr="006E28E9">
        <w:rPr>
          <w:rFonts w:hint="cs"/>
          <w:rtl/>
        </w:rPr>
        <w:t xml:space="preserve">» [الإمام الخميني والحكومة الإسلامية، الأسس الكلامية]، ص 230 - 231. وانظر أيضًا: </w:t>
      </w:r>
      <w:r w:rsidRPr="008C7124">
        <w:rPr>
          <w:rStyle w:val="Char9"/>
          <w:rFonts w:hint="cs"/>
          <w:sz w:val="20"/>
          <w:szCs w:val="20"/>
          <w:rtl/>
        </w:rPr>
        <w:t>ح</w:t>
      </w:r>
      <w:r>
        <w:rPr>
          <w:rStyle w:val="Char9"/>
          <w:rFonts w:hint="cs"/>
          <w:sz w:val="20"/>
          <w:szCs w:val="20"/>
          <w:rtl/>
        </w:rPr>
        <w:t>ک</w:t>
      </w:r>
      <w:r w:rsidRPr="008C7124">
        <w:rPr>
          <w:rStyle w:val="Char9"/>
          <w:rFonts w:hint="cs"/>
          <w:sz w:val="20"/>
          <w:szCs w:val="20"/>
          <w:rtl/>
        </w:rPr>
        <w:t>ومت ولائ</w:t>
      </w:r>
      <w:r>
        <w:rPr>
          <w:rStyle w:val="Char9"/>
          <w:rFonts w:hint="cs"/>
          <w:sz w:val="20"/>
          <w:szCs w:val="20"/>
          <w:rtl/>
        </w:rPr>
        <w:t>ی</w:t>
      </w:r>
      <w:r w:rsidRPr="006E28E9">
        <w:rPr>
          <w:rFonts w:hint="cs"/>
          <w:rtl/>
        </w:rPr>
        <w:t xml:space="preserve"> [الحكومة الولائية] (كديور، طهران، 1377 هـ.ش)، ص 141 - 143؛ وانظر أيضًا: «</w:t>
      </w:r>
      <w:r w:rsidRPr="008C7124">
        <w:rPr>
          <w:rStyle w:val="Char9"/>
          <w:rFonts w:hint="cs"/>
          <w:sz w:val="20"/>
          <w:szCs w:val="20"/>
          <w:rtl/>
        </w:rPr>
        <w:t>رسائل مذهب</w:t>
      </w:r>
      <w:r>
        <w:rPr>
          <w:rStyle w:val="Char9"/>
          <w:rFonts w:hint="cs"/>
          <w:sz w:val="20"/>
          <w:szCs w:val="20"/>
          <w:rtl/>
        </w:rPr>
        <w:t>ی</w:t>
      </w:r>
      <w:r w:rsidRPr="008C7124">
        <w:rPr>
          <w:rStyle w:val="Char9"/>
          <w:rFonts w:hint="cs"/>
          <w:sz w:val="20"/>
          <w:szCs w:val="20"/>
          <w:rtl/>
        </w:rPr>
        <w:t>- س</w:t>
      </w:r>
      <w:r>
        <w:rPr>
          <w:rStyle w:val="Char9"/>
          <w:rFonts w:hint="cs"/>
          <w:sz w:val="20"/>
          <w:szCs w:val="20"/>
          <w:rtl/>
        </w:rPr>
        <w:t>ی</w:t>
      </w:r>
      <w:r w:rsidRPr="008C7124">
        <w:rPr>
          <w:rStyle w:val="Char9"/>
          <w:rFonts w:hint="cs"/>
          <w:sz w:val="20"/>
          <w:szCs w:val="20"/>
          <w:rtl/>
        </w:rPr>
        <w:t>اس</w:t>
      </w:r>
      <w:r>
        <w:rPr>
          <w:rStyle w:val="Char9"/>
          <w:rFonts w:hint="cs"/>
          <w:sz w:val="20"/>
          <w:szCs w:val="20"/>
          <w:rtl/>
        </w:rPr>
        <w:t>ی</w:t>
      </w:r>
      <w:r w:rsidRPr="008C7124">
        <w:rPr>
          <w:rStyle w:val="Char9"/>
          <w:rFonts w:hint="cs"/>
          <w:sz w:val="20"/>
          <w:szCs w:val="20"/>
          <w:rtl/>
        </w:rPr>
        <w:t xml:space="preserve"> دوره پهلو</w:t>
      </w:r>
      <w:r>
        <w:rPr>
          <w:rStyle w:val="Char9"/>
          <w:rFonts w:hint="cs"/>
          <w:sz w:val="20"/>
          <w:szCs w:val="20"/>
          <w:rtl/>
        </w:rPr>
        <w:t>ی</w:t>
      </w:r>
      <w:r w:rsidRPr="006E28E9">
        <w:rPr>
          <w:rFonts w:hint="cs"/>
          <w:rtl/>
        </w:rPr>
        <w:t xml:space="preserve">» [الرسائل الدينية السياسية في العهد البهلوي]، (رسول جعفريان، طهران، مركز اسناد انقلاب اسلامي [مركز وثائق ومستندات الثورة الإسلامية]، ج 1.  </w:t>
      </w:r>
      <w:r w:rsidRPr="006E28E9">
        <w:rPr>
          <w:rtl/>
        </w:rPr>
        <w:t xml:space="preserve"> </w:t>
      </w:r>
    </w:p>
  </w:footnote>
  <w:footnote w:id="85">
    <w:p w:rsidR="008C7124" w:rsidRPr="006E28E9" w:rsidRDefault="008C7124" w:rsidP="0092648A">
      <w:pPr>
        <w:pStyle w:val="FootnoteText"/>
      </w:pPr>
      <w:r w:rsidRPr="006E28E9">
        <w:rPr>
          <w:rFonts w:ascii="Arabic11 BT" w:hAnsi="Arabic11 BT" w:cs="Arabic11 BT"/>
        </w:rPr>
        <w:footnoteRef/>
      </w:r>
      <w:r w:rsidRPr="006E28E9">
        <w:rPr>
          <w:rFonts w:hint="cs"/>
          <w:rtl/>
        </w:rPr>
        <w:t>. على أعتاب الثورة الإسلامية قال الإمام في إحدى تصريحاته: «ليس لي أي نشاط داخل الدولة ذاتها، وعندما ستتشكل الحكومة الإسلامية فستبقى مهمَّتي مماثلة لما أقوم به الآن وهي القيام بدور الإرشاد والهداية». (صحيفة النور، ج 3، ص 88، وانظر: ج 4، ص 170). وقال في موضع آخر: «سوف نرشِّح شخصًا لمنصب رئاسة الجمهورية، ولابد أن يتم انتخابه مِنْ قِبَلِ الشعب. وعندما يُنْتَخَب لهذا المنصب، سوف ندعمه ونؤيده، وسوف تكون قوانين الحكومة الإسلامية هي تشريعات الإسلام.... وسوف أكتفي - كما في السابق - بإرشاد الشعب وهدايته» (صحيفة النور، ج 4، ص 186). وقال في مناسبة أخرى أيضاً: «إن الفقيه يشرف على قيام مسؤولي الدولة بتطبيق القوانين، ويراقب عدم تخلّفهم عن العمل بالقانون، وليس الهدف أن يجلس هو بنفسه على كرسي الحكم ويباشر الحكم بنفسه. الفقيه يريد ألا يسمح لتلك الحكومات التي ما أن تمضي عليها عدة أيام في الحكم إلا وتعود إلى الطغيان والدكتاتورية». (</w:t>
      </w:r>
      <w:r w:rsidRPr="006E28E9">
        <w:rPr>
          <w:rFonts w:hint="cs"/>
          <w:b/>
          <w:bCs/>
          <w:rtl/>
        </w:rPr>
        <w:t>صحيفة النور</w:t>
      </w:r>
      <w:r w:rsidRPr="006E28E9">
        <w:rPr>
          <w:rFonts w:hint="cs"/>
          <w:rtl/>
        </w:rPr>
        <w:t xml:space="preserve">، ج 11، ص 37. انظر إلى توضيحات الإمام المفصَّلة التي يبيّن فيها لماذا كان يصرِّح بمثل هذه الأمور في ذلك الوقت ثم أراد بعد ذلك أن يقوم علماء الدين أنفسهم بالمشاركة في الأمور التنفيذية: </w:t>
      </w:r>
      <w:r w:rsidRPr="006E28E9">
        <w:rPr>
          <w:rFonts w:hint="cs"/>
          <w:b/>
          <w:bCs/>
          <w:rtl/>
        </w:rPr>
        <w:t>صحيفة النور</w:t>
      </w:r>
      <w:r w:rsidRPr="006E28E9">
        <w:rPr>
          <w:rFonts w:hint="cs"/>
          <w:rtl/>
        </w:rPr>
        <w:t>، ج 16، ص 211 - 212). وكان لدى مطهَّري في ذلك الزمن هذه الرؤية الإشرافية أيضًا، وكان ذلك اتباعًا منه لأفكار الإمام، يقول: «ولاية الفقيه لا تعني أن يجلس الفقيه ذاته على كرسي الرئاسة ويدير دفة الحكم بنفسه».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رامون انقلاب اسلام</w:t>
      </w:r>
      <w:r>
        <w:rPr>
          <w:rStyle w:val="Char9"/>
          <w:rFonts w:hint="cs"/>
          <w:sz w:val="20"/>
          <w:szCs w:val="20"/>
          <w:rtl/>
        </w:rPr>
        <w:t>ی</w:t>
      </w:r>
      <w:r w:rsidRPr="006E28E9">
        <w:rPr>
          <w:rFonts w:hint="cs"/>
          <w:rtl/>
        </w:rPr>
        <w:t>» [حول الثورة الإسلامية]، ص 86). وقد أشار الإمام فيما بعد إلى أن تصوره كان يرتكز على اعتقاده بأنه يوجد عدد كافٍ من الأفراد الصالحين للقيام بهذا الأمر، وقال: «ثم بعد ذلك رأيت أن الأمر ليس كما كنت أظن، لقد كان أولئك الأشخاص أفرادًا غير صالحين، ورأيت أن الكلام الذي كنت قد قلته لم يكن صحيحًا. لذلك جئت وأعلنت بصراحة أنني أخطأت فيما سبق». (</w:t>
      </w:r>
      <w:r w:rsidRPr="006E28E9">
        <w:rPr>
          <w:rFonts w:hint="cs"/>
          <w:b/>
          <w:bCs/>
          <w:rtl/>
        </w:rPr>
        <w:t>صحيفة الإمام</w:t>
      </w:r>
      <w:r w:rsidRPr="006E28E9">
        <w:rPr>
          <w:rFonts w:hint="cs"/>
          <w:rtl/>
        </w:rPr>
        <w:t>، ج 18، ص 178، وانظر: ج 16، ص 212).</w:t>
      </w:r>
    </w:p>
  </w:footnote>
  <w:footnote w:id="86">
    <w:p w:rsidR="008C7124" w:rsidRPr="006E28E9" w:rsidRDefault="008C7124" w:rsidP="0092648A">
      <w:pPr>
        <w:pStyle w:val="FootnoteText"/>
        <w:rPr>
          <w:rtl/>
          <w:lang w:bidi="ar-SY"/>
        </w:rPr>
      </w:pPr>
      <w:r w:rsidRPr="006E28E9">
        <w:rPr>
          <w:rFonts w:ascii="Arabic11 BT" w:hAnsi="Arabic11 BT" w:cs="Arabic11 BT"/>
        </w:rPr>
        <w:footnoteRef/>
      </w:r>
      <w:r w:rsidRPr="006E28E9">
        <w:rPr>
          <w:rFonts w:hint="cs"/>
          <w:rtl/>
        </w:rPr>
        <w:t>. هذه المطالب مأخوذة من الفصل الثالث والفصل الرابع لكتاب كشف الأسرار للإمام الخميني.</w:t>
      </w:r>
    </w:p>
  </w:footnote>
  <w:footnote w:id="87">
    <w:p w:rsidR="008C7124" w:rsidRPr="006E28E9" w:rsidRDefault="008C7124" w:rsidP="0092648A">
      <w:pPr>
        <w:pStyle w:val="FootnoteText"/>
        <w:rPr>
          <w:rtl/>
          <w:lang w:bidi="ar-SY"/>
        </w:rPr>
      </w:pPr>
      <w:r w:rsidRPr="006E28E9">
        <w:rPr>
          <w:rFonts w:ascii="Arabic11 BT" w:hAnsi="Arabic11 BT" w:cs="Arabic11 BT"/>
        </w:rPr>
        <w:footnoteRef/>
      </w:r>
      <w:r w:rsidRPr="006E28E9">
        <w:rPr>
          <w:rFonts w:hint="cs"/>
          <w:rtl/>
        </w:rPr>
        <w:t>. كان شهاب</w:t>
      </w:r>
      <w:r w:rsidRPr="006E28E9">
        <w:rPr>
          <w:rFonts w:ascii="Times New Roman" w:hAnsi="Times New Roman" w:cs="Times New Roman" w:hint="cs"/>
          <w:rtl/>
        </w:rPr>
        <w:t>‌</w:t>
      </w:r>
      <w:r w:rsidRPr="006E28E9">
        <w:rPr>
          <w:rFonts w:ascii="mylotus" w:hAnsi="mylotus" w:hint="cs"/>
          <w:rtl/>
        </w:rPr>
        <w:t>پور</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الأصل</w:t>
      </w:r>
      <w:r w:rsidRPr="006E28E9">
        <w:rPr>
          <w:rFonts w:hint="cs"/>
          <w:rtl/>
        </w:rPr>
        <w:t xml:space="preserve"> </w:t>
      </w:r>
      <w:r w:rsidRPr="006E28E9">
        <w:rPr>
          <w:rFonts w:ascii="mylotus" w:hAnsi="mylotus" w:hint="cs"/>
          <w:rtl/>
        </w:rPr>
        <w:t>موظ</w:t>
      </w:r>
      <w:r w:rsidRPr="006E28E9">
        <w:rPr>
          <w:rFonts w:hint="cs"/>
          <w:rtl/>
          <w:lang w:bidi="ar-SY"/>
        </w:rPr>
        <w:t>َّ</w:t>
      </w:r>
      <w:r w:rsidRPr="006E28E9">
        <w:rPr>
          <w:rFonts w:hint="cs"/>
          <w:rtl/>
        </w:rPr>
        <w:t>فًا في وزارة الثقافة (وزارة التربية والتعليم لاحقًا) وكان يعمل في إدارة التحرير فيها، لكنه استطاع بمساعيه الحثيثة خلال عدة سنوات أن يتحول إلى شخصية ثقافية بارزة ذات آثار باقية. مال شهاب</w:t>
      </w:r>
      <w:r w:rsidRPr="006E28E9">
        <w:rPr>
          <w:rFonts w:ascii="Times New Roman" w:hAnsi="Times New Roman" w:cs="Times New Roman" w:hint="cs"/>
          <w:rtl/>
        </w:rPr>
        <w:t>‌</w:t>
      </w:r>
      <w:r w:rsidRPr="006E28E9">
        <w:rPr>
          <w:rFonts w:ascii="mylotus" w:hAnsi="mylotus" w:hint="cs"/>
          <w:rtl/>
        </w:rPr>
        <w:t>پور</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السنوات</w:t>
      </w:r>
      <w:r w:rsidRPr="006E28E9">
        <w:rPr>
          <w:rFonts w:hint="cs"/>
          <w:rtl/>
        </w:rPr>
        <w:t xml:space="preserve"> </w:t>
      </w:r>
      <w:r w:rsidRPr="006E28E9">
        <w:rPr>
          <w:rFonts w:ascii="mylotus" w:hAnsi="mylotus" w:hint="cs"/>
          <w:rtl/>
        </w:rPr>
        <w:t>الأخيرة</w:t>
      </w:r>
      <w:r w:rsidRPr="006E28E9">
        <w:rPr>
          <w:rFonts w:hint="cs"/>
          <w:rtl/>
        </w:rPr>
        <w:t xml:space="preserve"> </w:t>
      </w:r>
      <w:r w:rsidRPr="006E28E9">
        <w:rPr>
          <w:rFonts w:ascii="mylotus" w:hAnsi="mylotus" w:hint="cs"/>
          <w:rtl/>
        </w:rPr>
        <w:t>من</w:t>
      </w:r>
      <w:r w:rsidRPr="006E28E9">
        <w:rPr>
          <w:rFonts w:hint="cs"/>
          <w:rtl/>
        </w:rPr>
        <w:t xml:space="preserve"> </w:t>
      </w:r>
      <w:r w:rsidRPr="006E28E9">
        <w:rPr>
          <w:rFonts w:ascii="mylotus" w:hAnsi="mylotus" w:hint="cs"/>
          <w:rtl/>
        </w:rPr>
        <w:t>عمره</w:t>
      </w:r>
      <w:r w:rsidRPr="006E28E9">
        <w:rPr>
          <w:rFonts w:hint="cs"/>
          <w:rtl/>
        </w:rPr>
        <w:t xml:space="preserve"> </w:t>
      </w:r>
      <w:r w:rsidRPr="006E28E9">
        <w:rPr>
          <w:rFonts w:ascii="mylotus" w:hAnsi="mylotus" w:hint="cs"/>
          <w:rtl/>
        </w:rPr>
        <w:t>إلى</w:t>
      </w:r>
      <w:r w:rsidRPr="006E28E9">
        <w:rPr>
          <w:rFonts w:hint="cs"/>
          <w:rtl/>
        </w:rPr>
        <w:t xml:space="preserve"> </w:t>
      </w:r>
      <w:r w:rsidRPr="006E28E9">
        <w:rPr>
          <w:rFonts w:ascii="mylotus" w:hAnsi="mylotus" w:hint="cs"/>
          <w:rtl/>
        </w:rPr>
        <w:t>نوع</w:t>
      </w:r>
      <w:r w:rsidRPr="006E28E9">
        <w:rPr>
          <w:rFonts w:hint="cs"/>
          <w:rtl/>
        </w:rPr>
        <w:t xml:space="preserve"> </w:t>
      </w:r>
      <w:r w:rsidRPr="006E28E9">
        <w:rPr>
          <w:rFonts w:ascii="mylotus" w:hAnsi="mylotus" w:hint="cs"/>
          <w:rtl/>
        </w:rPr>
        <w:t>من</w:t>
      </w:r>
      <w:r w:rsidRPr="006E28E9">
        <w:rPr>
          <w:rFonts w:hint="cs"/>
          <w:rtl/>
        </w:rPr>
        <w:t xml:space="preserve"> </w:t>
      </w:r>
      <w:r w:rsidRPr="006E28E9">
        <w:rPr>
          <w:rFonts w:ascii="mylotus" w:hAnsi="mylotus" w:hint="cs"/>
          <w:rtl/>
        </w:rPr>
        <w:t>الاعتقاد</w:t>
      </w:r>
      <w:r w:rsidRPr="006E28E9">
        <w:rPr>
          <w:rFonts w:hint="cs"/>
          <w:rtl/>
        </w:rPr>
        <w:t xml:space="preserve"> </w:t>
      </w:r>
      <w:r w:rsidRPr="006E28E9">
        <w:rPr>
          <w:rFonts w:ascii="mylotus" w:hAnsi="mylotus" w:hint="cs"/>
          <w:rtl/>
        </w:rPr>
        <w:t>بوحدة</w:t>
      </w:r>
      <w:r w:rsidRPr="006E28E9">
        <w:rPr>
          <w:rFonts w:hint="cs"/>
          <w:rtl/>
        </w:rPr>
        <w:t xml:space="preserve"> </w:t>
      </w:r>
      <w:r w:rsidRPr="006E28E9">
        <w:rPr>
          <w:rFonts w:ascii="mylotus" w:hAnsi="mylotus" w:hint="cs"/>
          <w:rtl/>
        </w:rPr>
        <w:t>العالم</w:t>
      </w:r>
      <w:r w:rsidRPr="006E28E9">
        <w:rPr>
          <w:rFonts w:hint="cs"/>
          <w:rtl/>
        </w:rPr>
        <w:t xml:space="preserve"> </w:t>
      </w:r>
      <w:r w:rsidRPr="006E28E9">
        <w:rPr>
          <w:rFonts w:ascii="mylotus" w:hAnsi="mylotus" w:hint="cs"/>
          <w:rtl/>
        </w:rPr>
        <w:t>مع</w:t>
      </w:r>
      <w:r w:rsidRPr="006E28E9">
        <w:rPr>
          <w:rFonts w:hint="cs"/>
          <w:rtl/>
        </w:rPr>
        <w:t xml:space="preserve"> </w:t>
      </w:r>
      <w:r w:rsidRPr="006E28E9">
        <w:rPr>
          <w:rFonts w:ascii="mylotus" w:hAnsi="mylotus" w:hint="cs"/>
          <w:rtl/>
        </w:rPr>
        <w:t>الاحتفاظ</w:t>
      </w:r>
      <w:r w:rsidRPr="006E28E9">
        <w:rPr>
          <w:rFonts w:hint="cs"/>
          <w:rtl/>
        </w:rPr>
        <w:t xml:space="preserve"> </w:t>
      </w:r>
      <w:r w:rsidRPr="006E28E9">
        <w:rPr>
          <w:rFonts w:ascii="mylotus" w:hAnsi="mylotus" w:hint="cs"/>
          <w:rtl/>
        </w:rPr>
        <w:t>بالعقيدة</w:t>
      </w:r>
      <w:r w:rsidRPr="006E28E9">
        <w:rPr>
          <w:rFonts w:hint="cs"/>
          <w:rtl/>
        </w:rPr>
        <w:t xml:space="preserve"> </w:t>
      </w:r>
      <w:r w:rsidRPr="006E28E9">
        <w:rPr>
          <w:rFonts w:ascii="mylotus" w:hAnsi="mylotus" w:hint="cs"/>
          <w:rtl/>
        </w:rPr>
        <w:t>الإسلامية،</w:t>
      </w:r>
      <w:r w:rsidRPr="006E28E9">
        <w:rPr>
          <w:rFonts w:hint="cs"/>
          <w:rtl/>
        </w:rPr>
        <w:t xml:space="preserve"> </w:t>
      </w:r>
      <w:r w:rsidRPr="006E28E9">
        <w:rPr>
          <w:rFonts w:ascii="mylotus" w:hAnsi="mylotus" w:hint="cs"/>
          <w:rtl/>
        </w:rPr>
        <w:t>وكان</w:t>
      </w:r>
      <w:r w:rsidRPr="006E28E9">
        <w:rPr>
          <w:rFonts w:hint="cs"/>
          <w:rtl/>
        </w:rPr>
        <w:t xml:space="preserve"> </w:t>
      </w:r>
      <w:r w:rsidRPr="006E28E9">
        <w:rPr>
          <w:rFonts w:ascii="mylotus" w:hAnsi="mylotus" w:hint="cs"/>
          <w:rtl/>
        </w:rPr>
        <w:t>يعقد</w:t>
      </w:r>
      <w:r w:rsidRPr="006E28E9">
        <w:rPr>
          <w:rFonts w:hint="cs"/>
          <w:rtl/>
        </w:rPr>
        <w:t xml:space="preserve"> </w:t>
      </w:r>
      <w:r w:rsidRPr="006E28E9">
        <w:rPr>
          <w:rFonts w:ascii="mylotus" w:hAnsi="mylotus" w:hint="cs"/>
          <w:rtl/>
        </w:rPr>
        <w:t>اج</w:t>
      </w:r>
      <w:r w:rsidRPr="006E28E9">
        <w:rPr>
          <w:rFonts w:hint="cs"/>
          <w:rtl/>
        </w:rPr>
        <w:t xml:space="preserve">تماعات يحضرها علماء ومفكرون من جميع أنحاء الدنيا لمناقشة المسائل الفكرية والإنسانية ونظرًا إلى الأهمية الدولية لتلك الاجتماعات كانت الدولة الإيرانية توفد أحيانًا أشخاصًا من قبلها للمشاركة في تلك الاجتماعات. كان ميله إلى التصوف وحبه لحشمت الله دولتشاهى (والد زوجته وشخص مرتبط بحكم المَلِك البهلوي) يرافقه نزعة إلى نوع من الأفكار العالمية العابرة للدين. (نشرت مجلة </w:t>
      </w:r>
      <w:r w:rsidRPr="008C7124">
        <w:rPr>
          <w:rStyle w:val="Char9"/>
          <w:rFonts w:hint="cs"/>
          <w:sz w:val="20"/>
          <w:szCs w:val="20"/>
          <w:rtl/>
        </w:rPr>
        <w:t>نور دانش</w:t>
      </w:r>
      <w:r w:rsidRPr="006E28E9">
        <w:rPr>
          <w:rFonts w:hint="cs"/>
          <w:rtl/>
        </w:rPr>
        <w:t xml:space="preserve"> [نور العلم] الأسبوعية ومجلة </w:t>
      </w:r>
      <w:r w:rsidRPr="008C7124">
        <w:rPr>
          <w:rStyle w:val="Char9"/>
          <w:rFonts w:hint="cs"/>
          <w:sz w:val="20"/>
          <w:szCs w:val="20"/>
          <w:rtl/>
        </w:rPr>
        <w:t>نور دانش</w:t>
      </w:r>
      <w:r w:rsidRPr="006E28E9">
        <w:rPr>
          <w:rFonts w:hint="cs"/>
          <w:rtl/>
        </w:rPr>
        <w:t xml:space="preserve"> السنوية مقالات وقصائد شعرية عديدة لحشمت الله دولتشاهى هذا، ومن جملة ذلك مقال «نور سخن در وحدت» [أي نور الكلام في الوحدة]، الذي قامت بطباعته دار النشر «وحدت نوين جهانى» [الوحدة العالمية الحديثة]، وأُدْرِجَت في بدايته رسالة أرسلها المكتب الخاص بالشاه خطابًا للسيد دولتشاهي). ومن مؤلفات دولتشاهي الأخرى كتابه «</w:t>
      </w:r>
      <w:r w:rsidRPr="008C7124">
        <w:rPr>
          <w:rStyle w:val="Char9"/>
          <w:rFonts w:hint="cs"/>
          <w:sz w:val="20"/>
          <w:szCs w:val="20"/>
          <w:rtl/>
        </w:rPr>
        <w:t>م</w:t>
      </w:r>
      <w:r>
        <w:rPr>
          <w:rStyle w:val="Char9"/>
          <w:rFonts w:hint="cs"/>
          <w:sz w:val="20"/>
          <w:szCs w:val="20"/>
          <w:rtl/>
        </w:rPr>
        <w:t>ک</w:t>
      </w:r>
      <w:r w:rsidRPr="008C7124">
        <w:rPr>
          <w:rStyle w:val="Char9"/>
          <w:rFonts w:hint="cs"/>
          <w:sz w:val="20"/>
          <w:szCs w:val="20"/>
          <w:rtl/>
        </w:rPr>
        <w:t>انسم آفر</w:t>
      </w:r>
      <w:r>
        <w:rPr>
          <w:rStyle w:val="Char9"/>
          <w:rFonts w:hint="cs"/>
          <w:sz w:val="20"/>
          <w:szCs w:val="20"/>
          <w:rtl/>
        </w:rPr>
        <w:t>ی</w:t>
      </w:r>
      <w:r w:rsidRPr="008C7124">
        <w:rPr>
          <w:rStyle w:val="Char9"/>
          <w:rFonts w:hint="cs"/>
          <w:sz w:val="20"/>
          <w:szCs w:val="20"/>
          <w:rtl/>
        </w:rPr>
        <w:t>نش</w:t>
      </w:r>
      <w:r w:rsidRPr="006E28E9">
        <w:rPr>
          <w:rFonts w:hint="cs"/>
          <w:rtl/>
        </w:rPr>
        <w:t>» [آلية الخلق] نشرته دار النشر ذاتها (طهران، ابن سينا، 1332</w:t>
      </w:r>
      <w:r w:rsidRPr="006E28E9">
        <w:rPr>
          <w:rFonts w:hint="cs"/>
          <w:rtl/>
          <w:lang w:bidi="ar-SY"/>
        </w:rPr>
        <w:t>هـ.ش/1953م</w:t>
      </w:r>
      <w:r w:rsidRPr="006E28E9">
        <w:rPr>
          <w:rFonts w:hint="cs"/>
          <w:rtl/>
        </w:rPr>
        <w:t>، مع مقدمة تضمنت مدحًا للشاه محمد رضا بهلوي). وقد أصبحت المجلة السنوية «</w:t>
      </w:r>
      <w:r w:rsidRPr="008C7124">
        <w:rPr>
          <w:rStyle w:val="Char9"/>
          <w:rFonts w:hint="cs"/>
          <w:sz w:val="20"/>
          <w:szCs w:val="20"/>
          <w:rtl/>
        </w:rPr>
        <w:t>نورد دانش</w:t>
      </w:r>
      <w:r w:rsidRPr="006E28E9">
        <w:rPr>
          <w:rFonts w:hint="cs"/>
          <w:rtl/>
        </w:rPr>
        <w:t xml:space="preserve">» [نور العلم] منذ سنة 1334 </w:t>
      </w:r>
      <w:r w:rsidRPr="006E28E9">
        <w:rPr>
          <w:rFonts w:hint="cs"/>
          <w:rtl/>
          <w:lang w:bidi="ar-SY"/>
        </w:rPr>
        <w:t>هـ.ش فما بعد (1955م فما بعد) من القائمين بالدعاية لمجلة الوحدة العالمية الجديدة ومجلّتها السنوية. في الواقع لقد أصبح شهاب</w:t>
      </w:r>
      <w:r w:rsidRPr="006E28E9">
        <w:rPr>
          <w:rFonts w:ascii="Times New Roman" w:hAnsi="Times New Roman" w:cs="Times New Roman" w:hint="cs"/>
          <w:rtl/>
          <w:lang w:bidi="ar-SY"/>
        </w:rPr>
        <w:t>‌</w:t>
      </w:r>
      <w:r w:rsidRPr="006E28E9">
        <w:rPr>
          <w:rFonts w:ascii="mylotus" w:hAnsi="mylotus" w:hint="cs"/>
          <w:rtl/>
          <w:lang w:bidi="ar-SY"/>
        </w:rPr>
        <w:t>پور</w:t>
      </w:r>
      <w:r w:rsidRPr="006E28E9">
        <w:rPr>
          <w:rFonts w:hint="cs"/>
          <w:rtl/>
          <w:lang w:bidi="ar-SY"/>
        </w:rPr>
        <w:t xml:space="preserve"> </w:t>
      </w:r>
      <w:r w:rsidRPr="006E28E9">
        <w:rPr>
          <w:rFonts w:ascii="mylotus" w:hAnsi="mylotus" w:hint="cs"/>
          <w:rtl/>
          <w:lang w:bidi="ar-SY"/>
        </w:rPr>
        <w:t>منذ</w:t>
      </w:r>
      <w:r w:rsidRPr="006E28E9">
        <w:rPr>
          <w:rFonts w:hint="cs"/>
          <w:rtl/>
          <w:lang w:bidi="ar-SY"/>
        </w:rPr>
        <w:t xml:space="preserve"> </w:t>
      </w:r>
      <w:r w:rsidRPr="006E28E9">
        <w:rPr>
          <w:rFonts w:ascii="mylotus" w:hAnsi="mylotus" w:hint="cs"/>
          <w:rtl/>
          <w:lang w:bidi="ar-SY"/>
        </w:rPr>
        <w:t>ذلك</w:t>
      </w:r>
      <w:r w:rsidRPr="006E28E9">
        <w:rPr>
          <w:rFonts w:hint="cs"/>
          <w:rtl/>
          <w:lang w:bidi="ar-SY"/>
        </w:rPr>
        <w:t xml:space="preserve"> </w:t>
      </w:r>
      <w:r w:rsidRPr="006E28E9">
        <w:rPr>
          <w:rFonts w:ascii="mylotus" w:hAnsi="mylotus" w:hint="cs"/>
          <w:rtl/>
          <w:lang w:bidi="ar-SY"/>
        </w:rPr>
        <w:t>الزمن</w:t>
      </w:r>
      <w:r w:rsidRPr="006E28E9">
        <w:rPr>
          <w:rFonts w:hint="cs"/>
          <w:rtl/>
          <w:lang w:bidi="ar-SY"/>
        </w:rPr>
        <w:t xml:space="preserve"> </w:t>
      </w:r>
      <w:r w:rsidRPr="006E28E9">
        <w:rPr>
          <w:rFonts w:ascii="mylotus" w:hAnsi="mylotus" w:hint="cs"/>
          <w:rtl/>
          <w:lang w:bidi="ar-SY"/>
        </w:rPr>
        <w:t>فما</w:t>
      </w:r>
      <w:r w:rsidRPr="006E28E9">
        <w:rPr>
          <w:rFonts w:hint="cs"/>
          <w:rtl/>
          <w:lang w:bidi="ar-SY"/>
        </w:rPr>
        <w:t xml:space="preserve"> </w:t>
      </w:r>
      <w:r w:rsidRPr="006E28E9">
        <w:rPr>
          <w:rFonts w:ascii="mylotus" w:hAnsi="mylotus" w:hint="cs"/>
          <w:rtl/>
          <w:lang w:bidi="ar-SY"/>
        </w:rPr>
        <w:t>بعد</w:t>
      </w:r>
      <w:r w:rsidRPr="006E28E9">
        <w:rPr>
          <w:rFonts w:hint="cs"/>
          <w:rtl/>
          <w:lang w:bidi="ar-SY"/>
        </w:rPr>
        <w:t xml:space="preserve"> </w:t>
      </w:r>
      <w:r w:rsidRPr="006E28E9">
        <w:rPr>
          <w:rFonts w:ascii="mylotus" w:hAnsi="mylotus" w:hint="cs"/>
          <w:rtl/>
          <w:lang w:bidi="ar-SY"/>
        </w:rPr>
        <w:t>من</w:t>
      </w:r>
      <w:r w:rsidRPr="006E28E9">
        <w:rPr>
          <w:rFonts w:hint="cs"/>
          <w:rtl/>
          <w:lang w:bidi="ar-SY"/>
        </w:rPr>
        <w:t xml:space="preserve"> </w:t>
      </w:r>
      <w:r w:rsidRPr="006E28E9">
        <w:rPr>
          <w:rFonts w:ascii="mylotus" w:hAnsi="mylotus" w:hint="cs"/>
          <w:rtl/>
          <w:lang w:bidi="ar-SY"/>
        </w:rPr>
        <w:t>المحبين</w:t>
      </w:r>
      <w:r w:rsidRPr="006E28E9">
        <w:rPr>
          <w:rFonts w:hint="cs"/>
          <w:rtl/>
          <w:lang w:bidi="ar-SY"/>
        </w:rPr>
        <w:t xml:space="preserve"> </w:t>
      </w:r>
      <w:r w:rsidRPr="006E28E9">
        <w:rPr>
          <w:rFonts w:ascii="mylotus" w:hAnsi="mylotus" w:hint="cs"/>
          <w:rtl/>
          <w:lang w:bidi="ar-SY"/>
        </w:rPr>
        <w:t>للوحدة</w:t>
      </w:r>
      <w:r w:rsidRPr="006E28E9">
        <w:rPr>
          <w:rFonts w:hint="cs"/>
          <w:rtl/>
          <w:lang w:bidi="ar-SY"/>
        </w:rPr>
        <w:t xml:space="preserve"> </w:t>
      </w:r>
      <w:r w:rsidRPr="006E28E9">
        <w:rPr>
          <w:rFonts w:ascii="mylotus" w:hAnsi="mylotus" w:hint="cs"/>
          <w:rtl/>
          <w:lang w:bidi="ar-SY"/>
        </w:rPr>
        <w:t>العالمية</w:t>
      </w:r>
      <w:r w:rsidRPr="006E28E9">
        <w:rPr>
          <w:rFonts w:hint="cs"/>
          <w:rtl/>
          <w:lang w:bidi="ar-SY"/>
        </w:rPr>
        <w:t xml:space="preserve"> </w:t>
      </w:r>
      <w:r w:rsidRPr="006E28E9">
        <w:rPr>
          <w:rFonts w:ascii="mylotus" w:hAnsi="mylotus" w:hint="cs"/>
          <w:rtl/>
          <w:lang w:bidi="ar-SY"/>
        </w:rPr>
        <w:t>وواصل</w:t>
      </w:r>
      <w:r w:rsidRPr="006E28E9">
        <w:rPr>
          <w:rFonts w:hint="cs"/>
          <w:rtl/>
          <w:lang w:bidi="ar-SY"/>
        </w:rPr>
        <w:t xml:space="preserve"> </w:t>
      </w:r>
      <w:r w:rsidRPr="006E28E9">
        <w:rPr>
          <w:rFonts w:ascii="mylotus" w:hAnsi="mylotus" w:hint="cs"/>
          <w:rtl/>
          <w:lang w:bidi="ar-SY"/>
        </w:rPr>
        <w:t>التحرك</w:t>
      </w:r>
      <w:r w:rsidRPr="006E28E9">
        <w:rPr>
          <w:rFonts w:hint="cs"/>
          <w:rtl/>
          <w:lang w:bidi="ar-SY"/>
        </w:rPr>
        <w:t xml:space="preserve"> </w:t>
      </w:r>
      <w:r w:rsidRPr="006E28E9">
        <w:rPr>
          <w:rFonts w:ascii="mylotus" w:hAnsi="mylotus" w:hint="cs"/>
          <w:rtl/>
          <w:lang w:bidi="ar-SY"/>
        </w:rPr>
        <w:t>في</w:t>
      </w:r>
      <w:r w:rsidRPr="006E28E9">
        <w:rPr>
          <w:rFonts w:hint="cs"/>
          <w:rtl/>
          <w:lang w:bidi="ar-SY"/>
        </w:rPr>
        <w:t xml:space="preserve"> </w:t>
      </w:r>
      <w:r w:rsidRPr="006E28E9">
        <w:rPr>
          <w:rFonts w:ascii="mylotus" w:hAnsi="mylotus" w:hint="cs"/>
          <w:rtl/>
          <w:lang w:bidi="ar-SY"/>
        </w:rPr>
        <w:t>هذا</w:t>
      </w:r>
      <w:r w:rsidRPr="006E28E9">
        <w:rPr>
          <w:rFonts w:hint="cs"/>
          <w:rtl/>
          <w:lang w:bidi="ar-SY"/>
        </w:rPr>
        <w:t xml:space="preserve"> </w:t>
      </w:r>
      <w:r w:rsidRPr="006E28E9">
        <w:rPr>
          <w:rFonts w:ascii="mylotus" w:hAnsi="mylotus" w:hint="cs"/>
          <w:rtl/>
          <w:lang w:bidi="ar-SY"/>
        </w:rPr>
        <w:t>الخط</w:t>
      </w:r>
      <w:r w:rsidRPr="006E28E9">
        <w:rPr>
          <w:rFonts w:hint="cs"/>
          <w:rtl/>
          <w:lang w:bidi="ar-SY"/>
        </w:rPr>
        <w:t xml:space="preserve"> </w:t>
      </w:r>
      <w:r w:rsidRPr="006E28E9">
        <w:rPr>
          <w:rFonts w:ascii="mylotus" w:hAnsi="mylotus" w:hint="cs"/>
          <w:rtl/>
          <w:lang w:bidi="ar-SY"/>
        </w:rPr>
        <w:t>حتى</w:t>
      </w:r>
      <w:r w:rsidRPr="006E28E9">
        <w:rPr>
          <w:rFonts w:hint="cs"/>
          <w:rtl/>
          <w:lang w:bidi="ar-SY"/>
        </w:rPr>
        <w:t xml:space="preserve"> </w:t>
      </w:r>
      <w:r w:rsidRPr="006E28E9">
        <w:rPr>
          <w:rFonts w:ascii="mylotus" w:hAnsi="mylotus" w:hint="cs"/>
          <w:rtl/>
          <w:lang w:bidi="ar-SY"/>
        </w:rPr>
        <w:t>آخر</w:t>
      </w:r>
      <w:r w:rsidRPr="006E28E9">
        <w:rPr>
          <w:rFonts w:hint="cs"/>
          <w:rtl/>
          <w:lang w:bidi="ar-SY"/>
        </w:rPr>
        <w:t xml:space="preserve"> </w:t>
      </w:r>
      <w:r w:rsidRPr="006E28E9">
        <w:rPr>
          <w:rFonts w:ascii="mylotus" w:hAnsi="mylotus" w:hint="cs"/>
          <w:rtl/>
          <w:lang w:bidi="ar-SY"/>
        </w:rPr>
        <w:t>عمره</w:t>
      </w:r>
      <w:r w:rsidRPr="006E28E9">
        <w:rPr>
          <w:rFonts w:hint="cs"/>
          <w:rtl/>
          <w:lang w:bidi="ar-SY"/>
        </w:rPr>
        <w:t xml:space="preserve">. </w:t>
      </w:r>
      <w:r w:rsidRPr="006E28E9">
        <w:rPr>
          <w:rFonts w:ascii="mylotus" w:hAnsi="mylotus" w:hint="cs"/>
          <w:rtl/>
          <w:lang w:bidi="ar-SY"/>
        </w:rPr>
        <w:t>بالنسبة</w:t>
      </w:r>
      <w:r w:rsidRPr="006E28E9">
        <w:rPr>
          <w:rFonts w:hint="cs"/>
          <w:rtl/>
          <w:lang w:bidi="ar-SY"/>
        </w:rPr>
        <w:t xml:space="preserve"> </w:t>
      </w:r>
      <w:r w:rsidRPr="006E28E9">
        <w:rPr>
          <w:rFonts w:ascii="mylotus" w:hAnsi="mylotus" w:hint="cs"/>
          <w:rtl/>
          <w:lang w:bidi="ar-SY"/>
        </w:rPr>
        <w:t>إلى</w:t>
      </w:r>
      <w:r w:rsidRPr="006E28E9">
        <w:rPr>
          <w:rFonts w:hint="cs"/>
          <w:rtl/>
          <w:lang w:bidi="ar-SY"/>
        </w:rPr>
        <w:t xml:space="preserve"> </w:t>
      </w:r>
      <w:r w:rsidRPr="006E28E9">
        <w:rPr>
          <w:rFonts w:ascii="mylotus" w:hAnsi="mylotus" w:hint="cs"/>
          <w:rtl/>
          <w:lang w:bidi="ar-SY"/>
        </w:rPr>
        <w:t>تأسيسه</w:t>
      </w:r>
      <w:r w:rsidRPr="006E28E9">
        <w:rPr>
          <w:rFonts w:hint="cs"/>
          <w:rtl/>
          <w:lang w:bidi="ar-SY"/>
        </w:rPr>
        <w:t xml:space="preserve"> </w:t>
      </w:r>
      <w:r w:rsidRPr="006E28E9">
        <w:rPr>
          <w:rFonts w:ascii="mylotus" w:hAnsi="mylotus" w:hint="cs"/>
          <w:rtl/>
          <w:lang w:bidi="ar-SY"/>
        </w:rPr>
        <w:t>لهذه</w:t>
      </w:r>
      <w:r w:rsidRPr="006E28E9">
        <w:rPr>
          <w:rFonts w:hint="cs"/>
          <w:rtl/>
          <w:lang w:bidi="ar-SY"/>
        </w:rPr>
        <w:t xml:space="preserve"> </w:t>
      </w:r>
      <w:r w:rsidRPr="006E28E9">
        <w:rPr>
          <w:rFonts w:ascii="mylotus" w:hAnsi="mylotus" w:hint="cs"/>
          <w:rtl/>
          <w:lang w:bidi="ar-SY"/>
        </w:rPr>
        <w:t>الحركة</w:t>
      </w:r>
      <w:r w:rsidRPr="006E28E9">
        <w:rPr>
          <w:rFonts w:hint="cs"/>
          <w:rtl/>
          <w:lang w:bidi="ar-SY"/>
        </w:rPr>
        <w:t xml:space="preserve"> </w:t>
      </w:r>
      <w:r w:rsidRPr="006E28E9">
        <w:rPr>
          <w:rFonts w:ascii="mylotus" w:hAnsi="mylotus" w:hint="cs"/>
          <w:rtl/>
          <w:lang w:bidi="ar-SY"/>
        </w:rPr>
        <w:t>انظر</w:t>
      </w:r>
      <w:r w:rsidRPr="006E28E9">
        <w:rPr>
          <w:rFonts w:hint="cs"/>
          <w:rtl/>
          <w:lang w:bidi="ar-SY"/>
        </w:rPr>
        <w:t xml:space="preserve">: </w:t>
      </w:r>
      <w:r w:rsidRPr="006E28E9">
        <w:rPr>
          <w:rFonts w:ascii="mylotus" w:hAnsi="mylotus" w:hint="cs"/>
          <w:rtl/>
          <w:lang w:bidi="ar-SY"/>
        </w:rPr>
        <w:t>«</w:t>
      </w:r>
      <w:r w:rsidRPr="008C7124">
        <w:rPr>
          <w:rStyle w:val="Char9"/>
          <w:rFonts w:hint="cs"/>
          <w:sz w:val="20"/>
          <w:szCs w:val="20"/>
          <w:rtl/>
        </w:rPr>
        <w:t>سالنامه نور دانش</w:t>
      </w:r>
      <w:r w:rsidRPr="006E28E9">
        <w:rPr>
          <w:rFonts w:hint="cs"/>
          <w:rtl/>
          <w:lang w:bidi="ar-SY"/>
        </w:rPr>
        <w:t xml:space="preserve">» [المجلة السنوية نور العلم]، سنة 1348 هـ.ش (1969م)، ص 92 - 95، وقد طبعت المجلة السنوية المذكورة تحت عنوان «كلام حول الوحدة». وبالطبع لم تؤثر عقيدته هذه على عقائده الدينية بل واصل متابعة تعلقاته المذهبية في كلا النشرتين السنوية والأسبوعية. في عام 1348 هـ.ش (1969م) كتب إلى جانب اسمه: الحائز على الدكتوراه من جامعة طهران وعلى الدكتوراه الفخرية من كندا. انظروا: سالنامه 1348 هـ.ش [المجلة السنوية 1969م]، ص 96.  </w:t>
      </w:r>
    </w:p>
  </w:footnote>
  <w:footnote w:id="88">
    <w:p w:rsidR="008C7124" w:rsidRPr="006E28E9" w:rsidRDefault="008C7124" w:rsidP="0092648A">
      <w:pPr>
        <w:pStyle w:val="FootnoteText"/>
      </w:pPr>
      <w:r w:rsidRPr="006E28E9">
        <w:rPr>
          <w:rFonts w:ascii="Arabic11 BT" w:hAnsi="Arabic11 BT" w:cs="Arabic11 BT"/>
        </w:rPr>
        <w:footnoteRef/>
      </w:r>
      <w:r w:rsidRPr="006E28E9">
        <w:rPr>
          <w:rFonts w:hint="cs"/>
          <w:rtl/>
        </w:rPr>
        <w:t>. يوافق عقد الأربعينيات و أوائل عقد الخمسينيات من القرن العشرين الميلادي المنصرم. (المُتَرْجِمُ)</w:t>
      </w:r>
    </w:p>
  </w:footnote>
  <w:footnote w:id="89">
    <w:p w:rsidR="008C7124" w:rsidRPr="006E28E9" w:rsidRDefault="008C7124" w:rsidP="0092648A">
      <w:pPr>
        <w:pStyle w:val="FootnoteText"/>
        <w:rPr>
          <w:lang w:bidi="ar-SY"/>
        </w:rPr>
      </w:pPr>
      <w:r w:rsidRPr="006E28E9">
        <w:rPr>
          <w:rFonts w:ascii="Arabic11 BT" w:hAnsi="Arabic11 BT" w:cs="Arabic11 BT"/>
        </w:rPr>
        <w:footnoteRef/>
      </w:r>
      <w:r w:rsidRPr="006E28E9">
        <w:rPr>
          <w:rFonts w:hint="cs"/>
          <w:rtl/>
        </w:rPr>
        <w:t>.</w:t>
      </w:r>
      <w:r w:rsidRPr="006E28E9">
        <w:rPr>
          <w:rtl/>
        </w:rPr>
        <w:t xml:space="preserve"> </w:t>
      </w:r>
      <w:r w:rsidRPr="006E28E9">
        <w:rPr>
          <w:rFonts w:hint="cs"/>
          <w:rtl/>
        </w:rPr>
        <w:t xml:space="preserve">أشرنا في موضع آخر أن تعبير «الخرافات» كان أحد المصطلحات الشائعة التي دخلت إلى الأدبيات الدينية بعد عهد رضاخان، و واصل المتدينون التركيز على مبدأ محاربة الخرافات حتى بعد انتهاء عهد رضاخان وبدء عهد ابنه (بعد أغسطس/آب سنة 1941م). لكن معنى «الخرافات» لم يكن واضحًا تمامًا وكان كل شخص يستخدم الكلمة ويفسرها حسب وجهة نظره. في مجلة «آيين اسلام» [شريعة </w:t>
      </w:r>
      <w:r w:rsidRPr="006E28E9">
        <w:rPr>
          <w:rFonts w:hint="cs"/>
          <w:rtl/>
          <w:lang w:bidi="ar-SY"/>
        </w:rPr>
        <w:t xml:space="preserve">الإسلام]، السنة الثالثة، العدد 2، ص 11، وبعد إشارته إلى الإبهام الذي يحف بكلمة «الخرافات»، </w:t>
      </w:r>
      <w:r w:rsidRPr="006E28E9">
        <w:rPr>
          <w:rFonts w:hint="cs"/>
          <w:rtl/>
        </w:rPr>
        <w:t>طلب الحاج سراج الأنصاري</w:t>
      </w:r>
      <w:r w:rsidRPr="006E28E9">
        <w:rPr>
          <w:rFonts w:hint="cs"/>
          <w:rtl/>
          <w:lang w:bidi="ar-SY"/>
        </w:rPr>
        <w:t xml:space="preserve"> من الكُتَّاب كتابة وجهات نظرهم حول معنى الكلمة ومصداقها. وفي الأعداد التالية للمجلة التي انتشرت في السنة الثالثة، نُشِرَتْ كتابات مختلفة حول «الخرافات» و«الرجعية» كانت تلبيةً و ردّ فعل على اقتراح المرحوم الحاج سراج الأنصاري ذاك. كما طُبِعت في شهري بهمن واسفند من عام 1329 هـ.ش (فبراير/شباط، ومارس/آذار 1951م) في مجلة «</w:t>
      </w:r>
      <w:r w:rsidRPr="006E28E9">
        <w:rPr>
          <w:rFonts w:hint="cs"/>
          <w:b/>
          <w:bCs/>
          <w:rtl/>
          <w:lang w:bidi="ar-SY"/>
        </w:rPr>
        <w:t>نداء الحق</w:t>
      </w:r>
      <w:r w:rsidRPr="006E28E9">
        <w:rPr>
          <w:rFonts w:hint="cs"/>
          <w:rtl/>
          <w:lang w:bidi="ar-SY"/>
        </w:rPr>
        <w:t>» مقالات تحت عنوان: «إزالة الخرافات - ونشر الحقائق».</w:t>
      </w:r>
    </w:p>
  </w:footnote>
  <w:footnote w:id="90">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انظر: </w:t>
      </w:r>
      <w:r w:rsidRPr="008C7124">
        <w:rPr>
          <w:rStyle w:val="Char9"/>
          <w:rFonts w:hint="cs"/>
          <w:sz w:val="20"/>
          <w:szCs w:val="20"/>
          <w:rtl/>
        </w:rPr>
        <w:t>چالش مذهب و مدرن</w:t>
      </w:r>
      <w:r>
        <w:rPr>
          <w:rStyle w:val="Char9"/>
          <w:rFonts w:hint="cs"/>
          <w:sz w:val="20"/>
          <w:szCs w:val="20"/>
          <w:rtl/>
        </w:rPr>
        <w:t>ی</w:t>
      </w:r>
      <w:r w:rsidRPr="008C7124">
        <w:rPr>
          <w:rStyle w:val="Char9"/>
          <w:rFonts w:hint="cs"/>
          <w:sz w:val="20"/>
          <w:szCs w:val="20"/>
          <w:rtl/>
        </w:rPr>
        <w:t>سم</w:t>
      </w:r>
      <w:r w:rsidRPr="006E28E9">
        <w:rPr>
          <w:rFonts w:hint="cs"/>
          <w:rtl/>
        </w:rPr>
        <w:t xml:space="preserve"> [الصراع بين الدين والعصرنة]، صص 250 - 256.</w:t>
      </w:r>
    </w:p>
  </w:footnote>
  <w:footnote w:id="91">
    <w:p w:rsidR="008C7124" w:rsidRPr="006E28E9" w:rsidRDefault="008C7124" w:rsidP="0092648A">
      <w:pPr>
        <w:pStyle w:val="FootnoteText"/>
      </w:pPr>
      <w:r w:rsidRPr="006E28E9">
        <w:rPr>
          <w:rFonts w:ascii="Arabic11 BT" w:hAnsi="Arabic11 BT" w:cs="Arabic11 BT"/>
        </w:rPr>
        <w:footnoteRef/>
      </w:r>
      <w:r w:rsidRPr="006E28E9">
        <w:rPr>
          <w:rFonts w:hint="cs"/>
          <w:rtl/>
        </w:rPr>
        <w:t>.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xml:space="preserve">» [شريعة الإسلام]، العدد 2، 5 فروردين 1323 هـ.ش/ 1944م. وقد ألف هذا الكتاب آيةُ الله الحاج محمد باقر كمرئي، أحد أعضاء هيئة التحرير في مجلة «آيين </w:t>
      </w:r>
      <w:r w:rsidRPr="006E28E9">
        <w:rPr>
          <w:rFonts w:hint="cs"/>
          <w:rtl/>
          <w:lang w:bidi="ar-SY"/>
        </w:rPr>
        <w:t>اسلام</w:t>
      </w:r>
      <w:r w:rsidRPr="006E28E9">
        <w:rPr>
          <w:rFonts w:hint="cs"/>
          <w:rtl/>
        </w:rPr>
        <w:t>» [شريعة الإسلام]. يشرح هذا الكتاب النظام السياسي والقضائي والاقتصادي للإسلام. وجاء في بيان شرح سيرة محمد باقر كمرئي توضيحات أكثر حول هذا الموضوع.</w:t>
      </w:r>
    </w:p>
  </w:footnote>
  <w:footnote w:id="92">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سالنامه نور دانش</w:t>
      </w:r>
      <w:r w:rsidRPr="006E28E9">
        <w:rPr>
          <w:rFonts w:hint="cs"/>
          <w:rtl/>
        </w:rPr>
        <w:t xml:space="preserve"> [المجلة السنوية نور العلم]، 1325 هـ.ش/ 1946م، ص 600 - 602. وجاء مثل هذا التقرير أيضاً في المجلة السنوية لسنة 1330 هـ.ش/1951م، وهو يستدعي الاهتمام.</w:t>
      </w:r>
    </w:p>
  </w:footnote>
  <w:footnote w:id="93">
    <w:p w:rsidR="008C7124" w:rsidRPr="006E28E9" w:rsidRDefault="008C7124" w:rsidP="0092648A">
      <w:pPr>
        <w:pStyle w:val="FootnoteText"/>
      </w:pPr>
      <w:r w:rsidRPr="006E28E9">
        <w:rPr>
          <w:rFonts w:ascii="Arabic11 BT" w:hAnsi="Arabic11 BT" w:cs="Arabic11 BT"/>
        </w:rPr>
        <w:footnoteRef/>
      </w:r>
      <w:r w:rsidRPr="006E28E9">
        <w:rPr>
          <w:rFonts w:hint="cs"/>
          <w:rtl/>
        </w:rPr>
        <w:t>. للاطلاع على نص إحدى تلك الدروس والمحاضرات انظر: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[شريعة الإسلام]، السنة 1، العدد 46، ص 7، والسنة 2، العدد 7، ص 3.</w:t>
      </w:r>
    </w:p>
  </w:footnote>
  <w:footnote w:id="94">
    <w:p w:rsidR="008C7124" w:rsidRPr="00924380" w:rsidRDefault="008C7124" w:rsidP="0092648A">
      <w:pPr>
        <w:pStyle w:val="FootnoteText"/>
        <w:rPr>
          <w:spacing w:val="-4"/>
        </w:rPr>
      </w:pPr>
      <w:r w:rsidRPr="00924380">
        <w:rPr>
          <w:rFonts w:ascii="Arabic11 BT" w:hAnsi="Arabic11 BT" w:cs="Arabic11 BT"/>
          <w:spacing w:val="-4"/>
        </w:rPr>
        <w:footnoteRef/>
      </w:r>
      <w:r w:rsidRPr="00924380">
        <w:rPr>
          <w:rFonts w:hint="cs"/>
          <w:spacing w:val="-4"/>
          <w:rtl/>
        </w:rPr>
        <w:t>. جُمِعَت هذه النشرات أو الكُتَيِّبات مع بعضها في كتاب واحد وطُبِعَت في كتاب مستقل سنة 1323 هـ.ش/1944م. بعض عناوين تلك النشرات: دستور افتتاح طريق النور في عالم الحقيقة، الطريق المستقيم، الغزالي يتكلم معكم، مساحة العالم، الإسلام والعلم المعاصر، ثقافة الأخلاق الإسلامية، أسرار السعادة، آيات ذي القرنين.</w:t>
      </w:r>
    </w:p>
  </w:footnote>
  <w:footnote w:id="95">
    <w:p w:rsidR="008C7124" w:rsidRPr="006E28E9" w:rsidRDefault="008C7124" w:rsidP="0092648A">
      <w:pPr>
        <w:pStyle w:val="FootnoteText"/>
        <w:rPr>
          <w:rtl/>
        </w:rPr>
      </w:pPr>
      <w:r w:rsidRPr="006E28E9">
        <w:rPr>
          <w:rFonts w:ascii="Arabic11 BT" w:hAnsi="Arabic11 BT" w:cs="Arabic11 BT"/>
        </w:rPr>
        <w:footnoteRef/>
      </w:r>
      <w:r w:rsidRPr="006E28E9">
        <w:rPr>
          <w:rFonts w:hint="cs"/>
          <w:rtl/>
        </w:rPr>
        <w:t xml:space="preserve">. </w:t>
      </w:r>
      <w:r w:rsidRPr="006E28E9">
        <w:rPr>
          <w:rFonts w:hint="cs"/>
          <w:rtl/>
          <w:lang w:bidi="ar-SY"/>
        </w:rPr>
        <w:t xml:space="preserve">مجلة </w:t>
      </w:r>
      <w:r w:rsidRPr="006E28E9">
        <w:rPr>
          <w:rFonts w:hint="cs"/>
          <w:rtl/>
        </w:rPr>
        <w:t>«</w:t>
      </w:r>
      <w:r w:rsidRPr="008C7124">
        <w:rPr>
          <w:rStyle w:val="Char9"/>
          <w:rFonts w:hint="cs"/>
          <w:sz w:val="20"/>
          <w:szCs w:val="20"/>
          <w:rtl/>
        </w:rPr>
        <w:t>نور دانش</w:t>
      </w:r>
      <w:r w:rsidRPr="006E28E9">
        <w:rPr>
          <w:rFonts w:hint="cs"/>
          <w:rtl/>
        </w:rPr>
        <w:t>» [نور العلم] السنوية، 1325 هـ.ش ص 603.</w:t>
      </w:r>
    </w:p>
  </w:footnote>
  <w:footnote w:id="96">
    <w:p w:rsidR="008C7124" w:rsidRPr="006E28E9" w:rsidRDefault="008C7124" w:rsidP="0092648A">
      <w:pPr>
        <w:pStyle w:val="FootnoteText"/>
      </w:pPr>
      <w:r w:rsidRPr="006E28E9">
        <w:rPr>
          <w:rFonts w:ascii="Arabic11 BT" w:hAnsi="Arabic11 BT" w:cs="Arabic11 BT"/>
        </w:rPr>
        <w:footnoteRef/>
      </w:r>
      <w:r w:rsidRPr="006E28E9">
        <w:rPr>
          <w:rFonts w:hint="cs"/>
          <w:rtl/>
        </w:rPr>
        <w:t>. انظر: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[شريعة الإسلام]، السنة 1، (5/3/1323 هـ.ش = 26/5/1944م)، ص 6.</w:t>
      </w:r>
    </w:p>
  </w:footnote>
  <w:footnote w:id="97">
    <w:p w:rsidR="008C7124" w:rsidRPr="006E28E9" w:rsidRDefault="008C7124" w:rsidP="0092648A">
      <w:pPr>
        <w:pStyle w:val="FootnoteText"/>
      </w:pPr>
      <w:r w:rsidRPr="006E28E9">
        <w:rPr>
          <w:rFonts w:ascii="Arabic11 BT" w:hAnsi="Arabic11 BT" w:cs="Arabic11 BT"/>
        </w:rPr>
        <w:footnoteRef/>
      </w:r>
      <w:r w:rsidRPr="006E28E9">
        <w:rPr>
          <w:rFonts w:hint="cs"/>
          <w:rtl/>
        </w:rPr>
        <w:t>. كان شهاب</w:t>
      </w:r>
      <w:r w:rsidRPr="006E28E9">
        <w:rPr>
          <w:rFonts w:ascii="Times New Roman" w:hAnsi="Times New Roman" w:cs="Times New Roman" w:hint="cs"/>
          <w:rtl/>
        </w:rPr>
        <w:t>‌</w:t>
      </w:r>
      <w:r w:rsidRPr="006E28E9">
        <w:rPr>
          <w:rFonts w:ascii="mylotus" w:hAnsi="mylotus" w:hint="cs"/>
          <w:rtl/>
        </w:rPr>
        <w:t>پور،</w:t>
      </w:r>
      <w:r w:rsidRPr="006E28E9">
        <w:rPr>
          <w:rFonts w:hint="cs"/>
          <w:rtl/>
        </w:rPr>
        <w:t xml:space="preserve"> </w:t>
      </w:r>
      <w:r w:rsidRPr="006E28E9">
        <w:rPr>
          <w:rFonts w:ascii="mylotus" w:hAnsi="mylotus" w:hint="cs"/>
          <w:rtl/>
        </w:rPr>
        <w:t>شأنه</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ذلك</w:t>
      </w:r>
      <w:r w:rsidRPr="006E28E9">
        <w:rPr>
          <w:rFonts w:hint="cs"/>
          <w:rtl/>
        </w:rPr>
        <w:t xml:space="preserve"> </w:t>
      </w:r>
      <w:r w:rsidRPr="006E28E9">
        <w:rPr>
          <w:rFonts w:ascii="mylotus" w:hAnsi="mylotus" w:hint="cs"/>
          <w:rtl/>
        </w:rPr>
        <w:t>شأن</w:t>
      </w:r>
      <w:r w:rsidRPr="006E28E9">
        <w:rPr>
          <w:rFonts w:hint="cs"/>
          <w:rtl/>
        </w:rPr>
        <w:t xml:space="preserve"> </w:t>
      </w:r>
      <w:r w:rsidRPr="006E28E9">
        <w:rPr>
          <w:rFonts w:ascii="mylotus" w:hAnsi="mylotus" w:hint="cs"/>
          <w:rtl/>
        </w:rPr>
        <w:t>كثير</w:t>
      </w:r>
      <w:r w:rsidRPr="006E28E9">
        <w:rPr>
          <w:rFonts w:hint="cs"/>
          <w:rtl/>
        </w:rPr>
        <w:t xml:space="preserve"> </w:t>
      </w:r>
      <w:r w:rsidRPr="006E28E9">
        <w:rPr>
          <w:rFonts w:ascii="mylotus" w:hAnsi="mylotus" w:hint="cs"/>
          <w:rtl/>
        </w:rPr>
        <w:t>من</w:t>
      </w:r>
      <w:r w:rsidRPr="006E28E9">
        <w:rPr>
          <w:rFonts w:hint="cs"/>
          <w:rtl/>
        </w:rPr>
        <w:t xml:space="preserve"> </w:t>
      </w:r>
      <w:r w:rsidRPr="006E28E9">
        <w:rPr>
          <w:rFonts w:ascii="mylotus" w:hAnsi="mylotus" w:hint="cs"/>
          <w:rtl/>
        </w:rPr>
        <w:t>المتدينين</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ذلك</w:t>
      </w:r>
      <w:r w:rsidRPr="006E28E9">
        <w:rPr>
          <w:rFonts w:hint="cs"/>
          <w:rtl/>
        </w:rPr>
        <w:t xml:space="preserve"> </w:t>
      </w:r>
      <w:r w:rsidRPr="006E28E9">
        <w:rPr>
          <w:rFonts w:ascii="mylotus" w:hAnsi="mylotus" w:hint="cs"/>
          <w:rtl/>
        </w:rPr>
        <w:t>العصر،</w:t>
      </w:r>
      <w:r w:rsidRPr="006E28E9">
        <w:rPr>
          <w:rFonts w:hint="cs"/>
          <w:rtl/>
        </w:rPr>
        <w:t xml:space="preserve"> </w:t>
      </w:r>
      <w:r w:rsidRPr="006E28E9">
        <w:rPr>
          <w:rFonts w:ascii="mylotus" w:hAnsi="mylotus" w:hint="cs"/>
          <w:rtl/>
        </w:rPr>
        <w:t>يسعى</w:t>
      </w:r>
      <w:r w:rsidRPr="006E28E9">
        <w:rPr>
          <w:rFonts w:hint="cs"/>
          <w:rtl/>
        </w:rPr>
        <w:t xml:space="preserve"> </w:t>
      </w:r>
      <w:r w:rsidRPr="006E28E9">
        <w:rPr>
          <w:rFonts w:ascii="mylotus" w:hAnsi="mylotus" w:hint="cs"/>
          <w:rtl/>
        </w:rPr>
        <w:t>إلى</w:t>
      </w:r>
      <w:r w:rsidRPr="006E28E9">
        <w:rPr>
          <w:rFonts w:hint="cs"/>
          <w:rtl/>
        </w:rPr>
        <w:t xml:space="preserve"> </w:t>
      </w:r>
      <w:r w:rsidRPr="006E28E9">
        <w:rPr>
          <w:rFonts w:ascii="mylotus" w:hAnsi="mylotus" w:hint="cs"/>
          <w:rtl/>
        </w:rPr>
        <w:t>إيجاد</w:t>
      </w:r>
      <w:r w:rsidRPr="006E28E9">
        <w:rPr>
          <w:rFonts w:hint="cs"/>
          <w:rtl/>
        </w:rPr>
        <w:t xml:space="preserve"> </w:t>
      </w:r>
      <w:r w:rsidRPr="006E28E9">
        <w:rPr>
          <w:rFonts w:ascii="mylotus" w:hAnsi="mylotus" w:hint="cs"/>
          <w:rtl/>
        </w:rPr>
        <w:t>توافق</w:t>
      </w:r>
      <w:r w:rsidRPr="006E28E9">
        <w:rPr>
          <w:rFonts w:hint="cs"/>
          <w:rtl/>
        </w:rPr>
        <w:t xml:space="preserve"> </w:t>
      </w:r>
      <w:r w:rsidRPr="006E28E9">
        <w:rPr>
          <w:rFonts w:ascii="mylotus" w:hAnsi="mylotus" w:hint="cs"/>
          <w:rtl/>
        </w:rPr>
        <w:t>بين</w:t>
      </w:r>
      <w:r w:rsidRPr="006E28E9">
        <w:rPr>
          <w:rFonts w:hint="cs"/>
          <w:rtl/>
        </w:rPr>
        <w:t xml:space="preserve"> </w:t>
      </w:r>
      <w:r w:rsidRPr="006E28E9">
        <w:rPr>
          <w:rFonts w:ascii="mylotus" w:hAnsi="mylotus" w:hint="cs"/>
          <w:rtl/>
        </w:rPr>
        <w:t>العلم</w:t>
      </w:r>
      <w:r w:rsidRPr="006E28E9">
        <w:rPr>
          <w:rFonts w:hint="cs"/>
          <w:rtl/>
        </w:rPr>
        <w:t xml:space="preserve"> </w:t>
      </w:r>
      <w:r w:rsidRPr="006E28E9">
        <w:rPr>
          <w:rFonts w:ascii="mylotus" w:hAnsi="mylotus" w:hint="cs"/>
          <w:rtl/>
        </w:rPr>
        <w:t>الجديد</w:t>
      </w:r>
      <w:r w:rsidRPr="006E28E9">
        <w:rPr>
          <w:rFonts w:hint="cs"/>
          <w:rtl/>
        </w:rPr>
        <w:t xml:space="preserve"> </w:t>
      </w:r>
      <w:r w:rsidRPr="006E28E9">
        <w:rPr>
          <w:rFonts w:ascii="mylotus" w:hAnsi="mylotus" w:hint="cs"/>
          <w:rtl/>
        </w:rPr>
        <w:t>والدين</w:t>
      </w:r>
      <w:r w:rsidRPr="006E28E9">
        <w:rPr>
          <w:rFonts w:hint="cs"/>
          <w:rtl/>
        </w:rPr>
        <w:t xml:space="preserve">. </w:t>
      </w:r>
      <w:r w:rsidRPr="006E28E9">
        <w:rPr>
          <w:rFonts w:ascii="mylotus" w:hAnsi="mylotus" w:hint="cs"/>
          <w:rtl/>
        </w:rPr>
        <w:t>أحد</w:t>
      </w:r>
      <w:r w:rsidRPr="006E28E9">
        <w:rPr>
          <w:rFonts w:hint="cs"/>
          <w:rtl/>
        </w:rPr>
        <w:t xml:space="preserve"> </w:t>
      </w:r>
      <w:r w:rsidRPr="006E28E9">
        <w:rPr>
          <w:rFonts w:ascii="mylotus" w:hAnsi="mylotus" w:hint="cs"/>
          <w:rtl/>
        </w:rPr>
        <w:t>الكتب</w:t>
      </w:r>
      <w:r w:rsidRPr="006E28E9">
        <w:rPr>
          <w:rFonts w:hint="cs"/>
          <w:rtl/>
        </w:rPr>
        <w:t xml:space="preserve"> </w:t>
      </w:r>
      <w:r w:rsidRPr="006E28E9">
        <w:rPr>
          <w:rFonts w:ascii="mylotus" w:hAnsi="mylotus" w:hint="cs"/>
          <w:rtl/>
        </w:rPr>
        <w:t>التي</w:t>
      </w:r>
      <w:r w:rsidRPr="006E28E9">
        <w:rPr>
          <w:rFonts w:hint="cs"/>
          <w:rtl/>
        </w:rPr>
        <w:t xml:space="preserve"> </w:t>
      </w:r>
      <w:r w:rsidRPr="006E28E9">
        <w:rPr>
          <w:rFonts w:ascii="mylotus" w:hAnsi="mylotus" w:hint="cs"/>
          <w:rtl/>
        </w:rPr>
        <w:t>طبعها</w:t>
      </w:r>
      <w:r w:rsidRPr="006E28E9">
        <w:rPr>
          <w:rFonts w:hint="cs"/>
          <w:rtl/>
        </w:rPr>
        <w:t xml:space="preserve"> </w:t>
      </w:r>
      <w:r w:rsidRPr="006E28E9">
        <w:rPr>
          <w:rFonts w:ascii="mylotus" w:hAnsi="mylotus" w:hint="cs"/>
          <w:rtl/>
        </w:rPr>
        <w:t>ونشرها</w:t>
      </w:r>
      <w:r w:rsidRPr="006E28E9">
        <w:rPr>
          <w:rFonts w:hint="cs"/>
          <w:rtl/>
        </w:rPr>
        <w:t xml:space="preserve"> </w:t>
      </w:r>
      <w:r w:rsidRPr="006E28E9">
        <w:rPr>
          <w:rFonts w:ascii="mylotus" w:hAnsi="mylotus" w:hint="cs"/>
          <w:rtl/>
        </w:rPr>
        <w:t>حمل</w:t>
      </w:r>
      <w:r w:rsidRPr="006E28E9">
        <w:rPr>
          <w:rFonts w:hint="cs"/>
          <w:rtl/>
        </w:rPr>
        <w:t xml:space="preserve"> </w:t>
      </w:r>
      <w:r w:rsidRPr="006E28E9">
        <w:rPr>
          <w:rFonts w:ascii="mylotus" w:hAnsi="mylotus" w:hint="cs"/>
          <w:rtl/>
        </w:rPr>
        <w:t>عنوان</w:t>
      </w:r>
      <w:r w:rsidRPr="006E28E9">
        <w:rPr>
          <w:rFonts w:hint="cs"/>
          <w:rtl/>
        </w:rPr>
        <w:t xml:space="preserve"> </w:t>
      </w:r>
      <w:r w:rsidRPr="006E28E9">
        <w:rPr>
          <w:rFonts w:ascii="mylotus" w:hAnsi="mylotus" w:hint="cs"/>
          <w:rtl/>
        </w:rPr>
        <w:t>«آيات</w:t>
      </w:r>
      <w:r w:rsidRPr="006E28E9">
        <w:rPr>
          <w:rFonts w:hint="cs"/>
          <w:rtl/>
        </w:rPr>
        <w:t xml:space="preserve"> </w:t>
      </w:r>
      <w:r w:rsidRPr="006E28E9">
        <w:rPr>
          <w:rFonts w:ascii="mylotus" w:hAnsi="mylotus" w:hint="cs"/>
          <w:rtl/>
        </w:rPr>
        <w:t>ذو</w:t>
      </w:r>
      <w:r w:rsidRPr="006E28E9">
        <w:rPr>
          <w:rFonts w:hint="cs"/>
          <w:rtl/>
        </w:rPr>
        <w:t xml:space="preserve"> </w:t>
      </w:r>
      <w:r w:rsidRPr="006E28E9">
        <w:rPr>
          <w:rFonts w:ascii="mylotus" w:hAnsi="mylotus" w:hint="cs"/>
          <w:rtl/>
        </w:rPr>
        <w:t>القرنين»،</w:t>
      </w:r>
      <w:r w:rsidRPr="006E28E9">
        <w:rPr>
          <w:rFonts w:hint="cs"/>
          <w:rtl/>
        </w:rPr>
        <w:t xml:space="preserve"> </w:t>
      </w:r>
      <w:r w:rsidRPr="006E28E9">
        <w:rPr>
          <w:rFonts w:ascii="mylotus" w:hAnsi="mylotus" w:hint="cs"/>
          <w:rtl/>
        </w:rPr>
        <w:t>وكُتِب</w:t>
      </w:r>
      <w:r w:rsidRPr="006E28E9">
        <w:rPr>
          <w:rFonts w:hint="cs"/>
          <w:rtl/>
        </w:rPr>
        <w:t xml:space="preserve"> تحته: «القرآن يتوافق مع العلم». انظر: </w:t>
      </w:r>
      <w:r w:rsidRPr="006E28E9">
        <w:rPr>
          <w:rFonts w:hint="cs"/>
          <w:rtl/>
          <w:lang w:bidi="ar-SY"/>
        </w:rPr>
        <w:t xml:space="preserve">مجلة </w:t>
      </w:r>
      <w:r w:rsidRPr="006E28E9">
        <w:rPr>
          <w:rFonts w:hint="cs"/>
          <w:rtl/>
        </w:rPr>
        <w:t>«</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العدد 28، ص 6 - 12. وهذا المقال ذاته طَبَعَته جمعية الدعوة الإسلامية ونشرته بصورة كُتَيِّب صغير.</w:t>
      </w:r>
    </w:p>
  </w:footnote>
  <w:footnote w:id="98">
    <w:p w:rsidR="008C7124" w:rsidRPr="006E28E9" w:rsidRDefault="008C7124" w:rsidP="0092648A">
      <w:pPr>
        <w:pStyle w:val="FootnoteText"/>
      </w:pPr>
      <w:r w:rsidRPr="006E28E9">
        <w:rPr>
          <w:rFonts w:ascii="Arabic11 BT" w:hAnsi="Arabic11 BT" w:cs="Arabic11 BT"/>
        </w:rPr>
        <w:footnoteRef/>
      </w:r>
      <w:r w:rsidRPr="006E28E9">
        <w:rPr>
          <w:rFonts w:hint="cs"/>
          <w:rtl/>
        </w:rPr>
        <w:t>. ظهرت ظاهرة المجلات السنوية بدءًا من عهد رضا خان، وفي الغالب كان ذلك اتباعًا للطرق السائدة بين بعض المطبوعات الأوروبية. من أشهر تلك المجلات السنوية: مجلة باريس السنوية التي كانت تُنْشَر حتى سنوات عديدة. بعد ذلك بدأت كثير من المدارس الثانوية المتميَّزة المُخْتارة، وبعض إدارات الثقافة (التربية والتعليم) في محافظات القطر بطباعة ونشر مجلة سنوية، هي عبارة عن نوع من الكشكول أو المجموعة الخبرية والعلمية. ومن بين مجلات المتدينين كانت المجلة السنوية «نور دانش» [نور العلم] من أنجح المجلات السنوية. وفيما بعد طُبِعَت أيضاً في قم المجلة السنوية «مكتب تشيُّع» [مذهب التشيع]، والمجلة السنوية «پيام اسلام» [رسالة الإسلام].</w:t>
      </w:r>
    </w:p>
  </w:footnote>
  <w:footnote w:id="99">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كان أفراد الجمعية يستفيدون من مكبرات الصوت في مجالسهم واجتماعاتهم، وقد اعترض بعض الناس على ذلك بل أشاع بعضهم أن مراجع التقليد أفتَوا بحرمة الاستفادة من مكبرات الصوت. وقد اشتُهِرَت هذه المسألة إلى حد أن فرع مدينة أصفهان لهذه الجمعية وجَّه سؤالاً بهذا الخصوص إلى آية الله البروجردي فأجاب بأن الاستفادة من مكبرات الصوت لا إشكال فيه. كانت الجمعية أيضًا تقيم احتفالات بمناسبة الأعياد الدينية والوطنية، وكانت تُلقَى كلمات ومحاضرات في تلك الاحتفالات. كان لإقامة هذه الاحتقالات، وحضور علماء طهران فيها وإلقاء بعض الوجوه البارزة من الخطباء مثل السيد فلسفي لمحاضرات خلالها، أهمية كبيرة في تلك الفترة الزمنية. انظر: مجلة مجلة «آيين </w:t>
      </w:r>
      <w:r w:rsidRPr="006E28E9">
        <w:rPr>
          <w:rFonts w:hint="cs"/>
          <w:rtl/>
          <w:lang w:bidi="ar-SY"/>
        </w:rPr>
        <w:t>اسلام</w:t>
      </w:r>
      <w:r w:rsidRPr="006E28E9">
        <w:rPr>
          <w:rFonts w:hint="cs"/>
          <w:rtl/>
        </w:rPr>
        <w:t>» [شريعة الإسلام]، السنة 6، العدد 4، ص 15.</w:t>
      </w:r>
    </w:p>
  </w:footnote>
  <w:footnote w:id="100">
    <w:p w:rsidR="008C7124" w:rsidRPr="00924380" w:rsidRDefault="008C7124" w:rsidP="0092648A">
      <w:pPr>
        <w:pStyle w:val="FootnoteText"/>
        <w:rPr>
          <w:spacing w:val="-6"/>
        </w:rPr>
      </w:pPr>
      <w:r w:rsidRPr="00924380">
        <w:rPr>
          <w:rFonts w:ascii="Arabic11 BT" w:hAnsi="Arabic11 BT" w:cs="Arabic11 BT"/>
          <w:spacing w:val="-6"/>
        </w:rPr>
        <w:footnoteRef/>
      </w:r>
      <w:r w:rsidRPr="00924380">
        <w:rPr>
          <w:rFonts w:hint="cs"/>
          <w:spacing w:val="-6"/>
          <w:rtl/>
        </w:rPr>
        <w:t xml:space="preserve">. </w:t>
      </w:r>
      <w:r w:rsidRPr="008C7124">
        <w:rPr>
          <w:rStyle w:val="Char9"/>
          <w:rFonts w:hint="cs"/>
          <w:spacing w:val="-6"/>
          <w:sz w:val="20"/>
          <w:szCs w:val="20"/>
          <w:rtl/>
        </w:rPr>
        <w:t>خاطرات گلسرخى</w:t>
      </w:r>
      <w:r w:rsidRPr="00924380">
        <w:rPr>
          <w:rFonts w:hint="cs"/>
          <w:spacing w:val="-6"/>
          <w:rtl/>
        </w:rPr>
        <w:t xml:space="preserve"> [مذكرات كلسرخي]، مجلة </w:t>
      </w:r>
      <w:r>
        <w:rPr>
          <w:rStyle w:val="Char9"/>
          <w:rFonts w:hint="cs"/>
          <w:spacing w:val="-6"/>
          <w:sz w:val="20"/>
          <w:szCs w:val="20"/>
          <w:rtl/>
        </w:rPr>
        <w:t>ی</w:t>
      </w:r>
      <w:r w:rsidRPr="008C7124">
        <w:rPr>
          <w:rStyle w:val="Char9"/>
          <w:rFonts w:hint="cs"/>
          <w:spacing w:val="-6"/>
          <w:sz w:val="20"/>
          <w:szCs w:val="20"/>
          <w:rtl/>
        </w:rPr>
        <w:t>اد</w:t>
      </w:r>
      <w:r w:rsidRPr="00924380">
        <w:rPr>
          <w:rFonts w:hint="cs"/>
          <w:spacing w:val="-6"/>
          <w:rtl/>
        </w:rPr>
        <w:t>، العدد 7، ص 43. كانت مجلة «نور العلم» موجَّهة لعامة الناس؛ في حين كانت هناك نشرة خاصة بالموظفين أي أولئك الذين كان لهم رمز خاص بهم. على سبيل المثال كان فخر الدين حجازي أحد الأشخاص الذين يتعاونون مع شهاب</w:t>
      </w:r>
      <w:r w:rsidRPr="00924380">
        <w:rPr>
          <w:rFonts w:ascii="Times New Roman" w:hAnsi="Times New Roman" w:cs="Times New Roman" w:hint="cs"/>
          <w:spacing w:val="-6"/>
          <w:rtl/>
        </w:rPr>
        <w:t>‌</w:t>
      </w:r>
      <w:r w:rsidRPr="00924380">
        <w:rPr>
          <w:rFonts w:ascii="mylotus" w:hAnsi="mylotus" w:hint="cs"/>
          <w:spacing w:val="-6"/>
          <w:rtl/>
        </w:rPr>
        <w:t>پور</w:t>
      </w:r>
      <w:r w:rsidRPr="00924380">
        <w:rPr>
          <w:rFonts w:hint="cs"/>
          <w:spacing w:val="-6"/>
          <w:rtl/>
        </w:rPr>
        <w:t xml:space="preserve"> </w:t>
      </w:r>
      <w:r w:rsidRPr="00924380">
        <w:rPr>
          <w:rFonts w:ascii="mylotus" w:hAnsi="mylotus" w:hint="cs"/>
          <w:spacing w:val="-6"/>
          <w:rtl/>
        </w:rPr>
        <w:t>ويعملون</w:t>
      </w:r>
      <w:r w:rsidRPr="00924380">
        <w:rPr>
          <w:rFonts w:hint="cs"/>
          <w:spacing w:val="-6"/>
          <w:rtl/>
        </w:rPr>
        <w:t xml:space="preserve"> </w:t>
      </w:r>
      <w:r w:rsidRPr="00924380">
        <w:rPr>
          <w:rFonts w:ascii="mylotus" w:hAnsi="mylotus" w:hint="cs"/>
          <w:spacing w:val="-6"/>
          <w:rtl/>
        </w:rPr>
        <w:t>تحت</w:t>
      </w:r>
      <w:r w:rsidRPr="00924380">
        <w:rPr>
          <w:rFonts w:hint="cs"/>
          <w:spacing w:val="-6"/>
          <w:rtl/>
        </w:rPr>
        <w:t xml:space="preserve"> </w:t>
      </w:r>
      <w:r w:rsidRPr="00924380">
        <w:rPr>
          <w:rFonts w:ascii="mylotus" w:hAnsi="mylotus" w:hint="cs"/>
          <w:spacing w:val="-6"/>
          <w:rtl/>
        </w:rPr>
        <w:t>إمرته</w:t>
      </w:r>
      <w:r w:rsidRPr="00924380">
        <w:rPr>
          <w:rFonts w:hint="cs"/>
          <w:spacing w:val="-6"/>
          <w:rtl/>
        </w:rPr>
        <w:t xml:space="preserve">. </w:t>
      </w:r>
      <w:r w:rsidRPr="00924380">
        <w:rPr>
          <w:rFonts w:ascii="mylotus" w:hAnsi="mylotus" w:hint="cs"/>
          <w:spacing w:val="-6"/>
          <w:rtl/>
        </w:rPr>
        <w:t>انظر</w:t>
      </w:r>
      <w:r w:rsidRPr="00924380">
        <w:rPr>
          <w:rFonts w:hint="cs"/>
          <w:spacing w:val="-6"/>
          <w:rtl/>
        </w:rPr>
        <w:t xml:space="preserve"> </w:t>
      </w:r>
      <w:r w:rsidRPr="00924380">
        <w:rPr>
          <w:rFonts w:ascii="mylotus" w:hAnsi="mylotus" w:hint="cs"/>
          <w:spacing w:val="-6"/>
          <w:rtl/>
        </w:rPr>
        <w:t>مجلة</w:t>
      </w:r>
      <w:r w:rsidRPr="00924380">
        <w:rPr>
          <w:rFonts w:hint="cs"/>
          <w:spacing w:val="-6"/>
          <w:rtl/>
        </w:rPr>
        <w:t xml:space="preserve"> </w:t>
      </w:r>
      <w:r w:rsidRPr="00924380">
        <w:rPr>
          <w:rFonts w:ascii="mylotus" w:hAnsi="mylotus" w:hint="cs"/>
          <w:spacing w:val="-6"/>
          <w:rtl/>
        </w:rPr>
        <w:t>ياد،</w:t>
      </w:r>
      <w:r w:rsidRPr="00924380">
        <w:rPr>
          <w:rFonts w:hint="cs"/>
          <w:spacing w:val="-6"/>
          <w:rtl/>
        </w:rPr>
        <w:t xml:space="preserve"> </w:t>
      </w:r>
      <w:r w:rsidRPr="00924380">
        <w:rPr>
          <w:rFonts w:ascii="mylotus" w:hAnsi="mylotus" w:hint="cs"/>
          <w:spacing w:val="-6"/>
          <w:rtl/>
        </w:rPr>
        <w:t>العدد</w:t>
      </w:r>
      <w:r w:rsidRPr="00924380">
        <w:rPr>
          <w:rFonts w:hint="cs"/>
          <w:spacing w:val="-6"/>
          <w:rtl/>
        </w:rPr>
        <w:t xml:space="preserve"> 7</w:t>
      </w:r>
      <w:r w:rsidRPr="00924380">
        <w:rPr>
          <w:rFonts w:ascii="mylotus" w:hAnsi="mylotus" w:hint="cs"/>
          <w:spacing w:val="-6"/>
          <w:rtl/>
        </w:rPr>
        <w:t>،</w:t>
      </w:r>
      <w:r w:rsidRPr="00924380">
        <w:rPr>
          <w:rFonts w:hint="cs"/>
          <w:spacing w:val="-6"/>
          <w:rtl/>
        </w:rPr>
        <w:t xml:space="preserve"> </w:t>
      </w:r>
      <w:r w:rsidRPr="00924380">
        <w:rPr>
          <w:rFonts w:ascii="mylotus" w:hAnsi="mylotus" w:hint="cs"/>
          <w:spacing w:val="-6"/>
          <w:rtl/>
        </w:rPr>
        <w:t>ص</w:t>
      </w:r>
      <w:r w:rsidRPr="00924380">
        <w:rPr>
          <w:rFonts w:hint="cs"/>
          <w:spacing w:val="-6"/>
          <w:rtl/>
        </w:rPr>
        <w:t xml:space="preserve"> 47.</w:t>
      </w:r>
    </w:p>
  </w:footnote>
  <w:footnote w:id="101">
    <w:p w:rsidR="008C7124" w:rsidRPr="006E28E9" w:rsidRDefault="008C7124" w:rsidP="0092648A">
      <w:pPr>
        <w:pStyle w:val="FootnoteText"/>
      </w:pPr>
      <w:r w:rsidRPr="006E28E9">
        <w:rPr>
          <w:rFonts w:ascii="Arabic11 BT" w:hAnsi="Arabic11 BT" w:cs="Arabic11 BT"/>
        </w:rPr>
        <w:footnoteRef/>
      </w:r>
      <w:r w:rsidRPr="006E28E9">
        <w:rPr>
          <w:rFonts w:hint="cs"/>
          <w:rtl/>
        </w:rPr>
        <w:t>. قدَّم الحاج سراج تقريرًا عن نشاطاتهم سنة 1330 هـ.ش/ 1951م. انظر: مجلة «</w:t>
      </w:r>
      <w:r w:rsidRPr="008C7124">
        <w:rPr>
          <w:rStyle w:val="Char9"/>
          <w:rFonts w:hint="cs"/>
          <w:sz w:val="20"/>
          <w:szCs w:val="20"/>
          <w:rtl/>
        </w:rPr>
        <w:t>مسلم</w:t>
      </w:r>
      <w:r>
        <w:rPr>
          <w:rStyle w:val="Char9"/>
          <w:rFonts w:hint="cs"/>
          <w:sz w:val="20"/>
          <w:szCs w:val="20"/>
          <w:rtl/>
        </w:rPr>
        <w:t>ی</w:t>
      </w:r>
      <w:r w:rsidRPr="008C7124">
        <w:rPr>
          <w:rStyle w:val="Char9"/>
          <w:rFonts w:hint="cs"/>
          <w:sz w:val="20"/>
          <w:szCs w:val="20"/>
          <w:rtl/>
        </w:rPr>
        <w:t>ن</w:t>
      </w:r>
      <w:r w:rsidRPr="006E28E9">
        <w:rPr>
          <w:rFonts w:hint="cs"/>
          <w:rtl/>
        </w:rPr>
        <w:t>»، السنة الثانية، العدد الأول، ص 15 - 16. وقد ذكَّر في ذلك التقرير بأن: هذه الجمعية تتمتع بأساس قوي وأكثر استحكامًا من بقية الجمعيات نظرًا لامتلاكها لمجلس إدارة خاص بها... حتى عندما كنت هناك، قبل السيد شريعتي المُشار إليه، عضويته في هذه الجمعية... كان لهذه الجمعية مراكز صغيرة فعالة يُطْلَق عليها اسم «الدورة»، حيث كانت تتم في تلك الدورات تلاوة لكلام الله وتفسير القرآن وإلقاء محاضرات دينية مِنْ قِبَلِ أعضاء الدورة أنفسهم أو مِنْ قِبَلِ أشخاص آخرين.</w:t>
      </w:r>
    </w:p>
  </w:footnote>
  <w:footnote w:id="102">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اسناد</w:t>
      </w:r>
      <w:r>
        <w:rPr>
          <w:rStyle w:val="Char9"/>
          <w:rFonts w:hint="cs"/>
          <w:sz w:val="20"/>
          <w:szCs w:val="20"/>
          <w:rtl/>
        </w:rPr>
        <w:t>ی</w:t>
      </w:r>
      <w:r w:rsidRPr="008C7124">
        <w:rPr>
          <w:rStyle w:val="Char9"/>
          <w:rFonts w:hint="cs"/>
          <w:sz w:val="20"/>
          <w:szCs w:val="20"/>
          <w:rtl/>
        </w:rPr>
        <w:t xml:space="preserve"> از انجمن ها ومجامع</w:t>
      </w:r>
      <w:r w:rsidRPr="006E28E9">
        <w:rPr>
          <w:rFonts w:hint="cs"/>
          <w:rtl/>
        </w:rPr>
        <w:t xml:space="preserve"> [وثائق عن الجمعيات و المجامع]، ص 71، 74، 75.</w:t>
      </w:r>
    </w:p>
  </w:footnote>
  <w:footnote w:id="103">
    <w:p w:rsidR="008C7124" w:rsidRPr="00924380" w:rsidRDefault="008C7124" w:rsidP="0092648A">
      <w:pPr>
        <w:pStyle w:val="FootnoteText"/>
        <w:rPr>
          <w:spacing w:val="-4"/>
        </w:rPr>
      </w:pPr>
      <w:r w:rsidRPr="00924380">
        <w:rPr>
          <w:rFonts w:ascii="Arabic11 BT" w:hAnsi="Arabic11 BT" w:cs="Arabic11 BT"/>
          <w:spacing w:val="-4"/>
        </w:rPr>
        <w:footnoteRef/>
      </w:r>
      <w:r w:rsidRPr="00924380">
        <w:rPr>
          <w:rFonts w:hint="cs"/>
          <w:spacing w:val="-4"/>
          <w:rtl/>
        </w:rPr>
        <w:t xml:space="preserve">. </w:t>
      </w:r>
      <w:r w:rsidRPr="00924380">
        <w:rPr>
          <w:rFonts w:hint="cs"/>
          <w:b/>
          <w:bCs/>
          <w:spacing w:val="-4"/>
          <w:rtl/>
        </w:rPr>
        <w:tab/>
      </w:r>
      <w:r w:rsidRPr="00924380">
        <w:rPr>
          <w:rFonts w:hint="cs"/>
          <w:spacing w:val="-4"/>
          <w:rtl/>
        </w:rPr>
        <w:t xml:space="preserve">كانوا يتوقعون بالطبع من السيد سنجابي أن يقوم بمنع الفساد؛ كما أن جمعية همدان للتعاليم الإسلامية كتبت له رسالةً طلبت فيها منه أن يوقف برنامج استفادة الرجال والنساء المشتركة والمختلطة من المسابح، وأن يمنع البث الإذاعي للموسيقى وأن يمنع كذلك قيام المعلمين الرجال بالتدريس في مدارس البنات. </w:t>
      </w:r>
      <w:r w:rsidRPr="00924380">
        <w:rPr>
          <w:rFonts w:hint="cs"/>
          <w:b/>
          <w:bCs/>
          <w:spacing w:val="-4"/>
          <w:rtl/>
        </w:rPr>
        <w:t>المصدر نفسه</w:t>
      </w:r>
      <w:r w:rsidRPr="00924380">
        <w:rPr>
          <w:rFonts w:hint="cs"/>
          <w:spacing w:val="-4"/>
          <w:rtl/>
        </w:rPr>
        <w:t xml:space="preserve">، ص 149. </w:t>
      </w:r>
    </w:p>
  </w:footnote>
  <w:footnote w:id="104">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انظروا: </w:t>
      </w:r>
      <w:r w:rsidRPr="006E28E9">
        <w:rPr>
          <w:rFonts w:hint="cs"/>
          <w:rtl/>
          <w:lang w:bidi="ar-SY"/>
        </w:rPr>
        <w:t xml:space="preserve">المجلة </w:t>
      </w:r>
      <w:r w:rsidRPr="006E28E9">
        <w:rPr>
          <w:rFonts w:hint="cs"/>
          <w:rtl/>
        </w:rPr>
        <w:t xml:space="preserve">السنوية </w:t>
      </w:r>
      <w:r w:rsidRPr="006E28E9">
        <w:rPr>
          <w:rFonts w:hint="eastAsia"/>
          <w:rtl/>
        </w:rPr>
        <w:t>«</w:t>
      </w:r>
      <w:r w:rsidRPr="006E28E9">
        <w:rPr>
          <w:rFonts w:hint="eastAsia"/>
          <w:b/>
          <w:bCs/>
          <w:rtl/>
        </w:rPr>
        <w:t>ن</w:t>
      </w:r>
      <w:r w:rsidRPr="006E28E9">
        <w:rPr>
          <w:rFonts w:hint="cs"/>
          <w:b/>
          <w:bCs/>
          <w:rtl/>
        </w:rPr>
        <w:t>ور العلم</w:t>
      </w:r>
      <w:r w:rsidRPr="006E28E9">
        <w:rPr>
          <w:rFonts w:hint="eastAsia"/>
          <w:rtl/>
        </w:rPr>
        <w:t>»</w:t>
      </w:r>
      <w:r w:rsidRPr="006E28E9">
        <w:rPr>
          <w:rFonts w:hint="cs"/>
          <w:rtl/>
        </w:rPr>
        <w:t>، 1331هـ.ش/1952م، ص 169-171.</w:t>
      </w:r>
      <w:r w:rsidRPr="006E28E9">
        <w:rPr>
          <w:rtl/>
        </w:rPr>
        <w:t xml:space="preserve"> </w:t>
      </w:r>
    </w:p>
  </w:footnote>
  <w:footnote w:id="105">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انظر: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 xml:space="preserve">ن اسلام </w:t>
      </w:r>
      <w:r w:rsidRPr="006E28E9">
        <w:rPr>
          <w:rFonts w:hint="cs"/>
          <w:rtl/>
        </w:rPr>
        <w:t>[شريعة الإسلام]، السنة 2، العدد 24، ص 11.</w:t>
      </w:r>
      <w:r w:rsidRPr="006E28E9">
        <w:rPr>
          <w:rtl/>
        </w:rPr>
        <w:t xml:space="preserve"> </w:t>
      </w:r>
    </w:p>
  </w:footnote>
  <w:footnote w:id="106">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 xml:space="preserve">ن اسلام </w:t>
      </w:r>
      <w:r w:rsidRPr="006E28E9">
        <w:rPr>
          <w:rFonts w:hint="cs"/>
          <w:rtl/>
        </w:rPr>
        <w:t>[شريعة الإسلام]، السنة 2، العدد 3، ص 3.</w:t>
      </w:r>
      <w:r w:rsidRPr="006E28E9">
        <w:rPr>
          <w:rtl/>
        </w:rPr>
        <w:t xml:space="preserve"> </w:t>
      </w:r>
    </w:p>
  </w:footnote>
  <w:footnote w:id="107">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انظر: </w:t>
      </w:r>
      <w:r w:rsidRPr="008C7124">
        <w:rPr>
          <w:rStyle w:val="Char9"/>
          <w:rFonts w:hint="cs"/>
          <w:sz w:val="20"/>
          <w:szCs w:val="20"/>
          <w:rtl/>
        </w:rPr>
        <w:t>جنا</w:t>
      </w:r>
      <w:r>
        <w:rPr>
          <w:rStyle w:val="Char9"/>
          <w:rFonts w:hint="cs"/>
          <w:sz w:val="20"/>
          <w:szCs w:val="20"/>
          <w:rtl/>
        </w:rPr>
        <w:t>ی</w:t>
      </w:r>
      <w:r w:rsidRPr="008C7124">
        <w:rPr>
          <w:rStyle w:val="Char9"/>
          <w:rFonts w:hint="cs"/>
          <w:sz w:val="20"/>
          <w:szCs w:val="20"/>
          <w:rtl/>
        </w:rPr>
        <w:t>ات تار</w:t>
      </w:r>
      <w:r>
        <w:rPr>
          <w:rStyle w:val="Char9"/>
          <w:rFonts w:hint="cs"/>
          <w:sz w:val="20"/>
          <w:szCs w:val="20"/>
          <w:rtl/>
        </w:rPr>
        <w:t>ی</w:t>
      </w:r>
      <w:r w:rsidRPr="008C7124">
        <w:rPr>
          <w:rStyle w:val="Char9"/>
          <w:rFonts w:hint="cs"/>
          <w:sz w:val="20"/>
          <w:szCs w:val="20"/>
          <w:rtl/>
        </w:rPr>
        <w:t>خ</w:t>
      </w:r>
      <w:r w:rsidRPr="006E28E9">
        <w:rPr>
          <w:rFonts w:hint="cs"/>
          <w:rtl/>
        </w:rPr>
        <w:t>، ص 7.</w:t>
      </w:r>
      <w:r w:rsidRPr="006E28E9">
        <w:rPr>
          <w:rtl/>
        </w:rPr>
        <w:t xml:space="preserve"> </w:t>
      </w:r>
    </w:p>
  </w:footnote>
  <w:footnote w:id="108">
    <w:p w:rsidR="008C7124" w:rsidRPr="00924380" w:rsidRDefault="008C7124" w:rsidP="0092648A">
      <w:pPr>
        <w:pStyle w:val="FootnoteText"/>
        <w:rPr>
          <w:spacing w:val="-4"/>
        </w:rPr>
      </w:pPr>
      <w:r w:rsidRPr="00924380">
        <w:rPr>
          <w:rFonts w:ascii="Arabic11 BT" w:hAnsi="Arabic11 BT" w:cs="Arabic11 BT"/>
          <w:spacing w:val="-4"/>
        </w:rPr>
        <w:footnoteRef/>
      </w:r>
      <w:r w:rsidRPr="00924380">
        <w:rPr>
          <w:rFonts w:hint="cs"/>
          <w:spacing w:val="-4"/>
          <w:rtl/>
        </w:rPr>
        <w:t xml:space="preserve">. نموذج على ذلك مقال كتبه السيد محمد علي داعي الإسلام بعنوان: </w:t>
      </w:r>
      <w:r w:rsidRPr="00924380">
        <w:rPr>
          <w:rFonts w:hint="eastAsia"/>
          <w:spacing w:val="-4"/>
          <w:rtl/>
        </w:rPr>
        <w:t>«ا</w:t>
      </w:r>
      <w:r w:rsidRPr="00924380">
        <w:rPr>
          <w:rFonts w:hint="cs"/>
          <w:spacing w:val="-4"/>
          <w:rtl/>
        </w:rPr>
        <w:t>تحاد الإسلام أو أخوة المسلمين</w:t>
      </w:r>
      <w:r w:rsidRPr="00924380">
        <w:rPr>
          <w:rFonts w:hint="eastAsia"/>
          <w:spacing w:val="-4"/>
          <w:rtl/>
        </w:rPr>
        <w:t>»،</w:t>
      </w:r>
      <w:r w:rsidRPr="00924380">
        <w:rPr>
          <w:rFonts w:hint="cs"/>
          <w:spacing w:val="-4"/>
          <w:rtl/>
        </w:rPr>
        <w:t xml:space="preserve"> انظر: مجلة </w:t>
      </w:r>
      <w:r w:rsidRPr="00924380">
        <w:rPr>
          <w:rFonts w:hint="eastAsia"/>
          <w:spacing w:val="-4"/>
          <w:rtl/>
        </w:rPr>
        <w:t>«</w:t>
      </w:r>
      <w:r w:rsidRPr="008C7124">
        <w:rPr>
          <w:rStyle w:val="Char9"/>
          <w:rFonts w:hint="eastAsia"/>
          <w:spacing w:val="-4"/>
          <w:sz w:val="20"/>
          <w:szCs w:val="20"/>
          <w:rtl/>
        </w:rPr>
        <w:t>آ</w:t>
      </w:r>
      <w:r>
        <w:rPr>
          <w:rStyle w:val="Char9"/>
          <w:rFonts w:hint="cs"/>
          <w:spacing w:val="-4"/>
          <w:sz w:val="20"/>
          <w:szCs w:val="20"/>
          <w:rtl/>
        </w:rPr>
        <w:t>یی</w:t>
      </w:r>
      <w:r w:rsidRPr="008C7124">
        <w:rPr>
          <w:rStyle w:val="Char9"/>
          <w:rFonts w:hint="cs"/>
          <w:spacing w:val="-4"/>
          <w:sz w:val="20"/>
          <w:szCs w:val="20"/>
          <w:rtl/>
        </w:rPr>
        <w:t>ن اسلام</w:t>
      </w:r>
      <w:r w:rsidRPr="00924380">
        <w:rPr>
          <w:rFonts w:hint="eastAsia"/>
          <w:spacing w:val="-4"/>
          <w:rtl/>
        </w:rPr>
        <w:t>»</w:t>
      </w:r>
      <w:r w:rsidRPr="00924380">
        <w:rPr>
          <w:rFonts w:hint="cs"/>
          <w:spacing w:val="-4"/>
          <w:rtl/>
        </w:rPr>
        <w:t xml:space="preserve"> [شريعة الإسلام]، السنة 2، العدد 26، (شهريور، 1324هـ.ش/أغسطس (آب) 1945م)، سنة2، عدد 28، ص 5، وقد طبعت الأعداد التالية من هذه المجلة بقية ذلك المقال المبسوط، وكتب الحاج سراج الأنصاري في العدد 31 (السنة الثانية، ص 5) تعليقًا على مقال داعي الإسلام هذا بين فيه مدى إمكانية الوحدة، وفي نهاية المقال طلب من المصلحين المثقفين أن ينشروا نظرياتهم في الصحف والجرائد وأن يبذلوا مساعيهم لأجل تحقيق اتحاد المسلمين أو الأخوة الإسلامية. ونشر أبو القاسم سحاب في مجلة </w:t>
      </w:r>
      <w:r w:rsidRPr="00924380">
        <w:rPr>
          <w:rFonts w:hint="eastAsia"/>
          <w:spacing w:val="-4"/>
          <w:rtl/>
        </w:rPr>
        <w:t>«</w:t>
      </w:r>
      <w:r w:rsidRPr="008C7124">
        <w:rPr>
          <w:rStyle w:val="Char9"/>
          <w:rFonts w:hint="cs"/>
          <w:spacing w:val="-4"/>
          <w:sz w:val="20"/>
          <w:szCs w:val="20"/>
          <w:rtl/>
        </w:rPr>
        <w:t>آ</w:t>
      </w:r>
      <w:r>
        <w:rPr>
          <w:rStyle w:val="Char9"/>
          <w:rFonts w:hint="cs"/>
          <w:spacing w:val="-4"/>
          <w:sz w:val="20"/>
          <w:szCs w:val="20"/>
          <w:rtl/>
        </w:rPr>
        <w:t>یی</w:t>
      </w:r>
      <w:r w:rsidRPr="008C7124">
        <w:rPr>
          <w:rStyle w:val="Char9"/>
          <w:rFonts w:hint="cs"/>
          <w:spacing w:val="-4"/>
          <w:sz w:val="20"/>
          <w:szCs w:val="20"/>
          <w:rtl/>
        </w:rPr>
        <w:t>ن اسلام</w:t>
      </w:r>
      <w:r w:rsidRPr="00924380">
        <w:rPr>
          <w:rFonts w:hint="eastAsia"/>
          <w:spacing w:val="-4"/>
          <w:rtl/>
        </w:rPr>
        <w:t>»</w:t>
      </w:r>
      <w:r w:rsidRPr="00924380">
        <w:rPr>
          <w:rFonts w:hint="cs"/>
          <w:spacing w:val="-4"/>
          <w:rtl/>
        </w:rPr>
        <w:t xml:space="preserve"> [شريعة الإسلام]، العدد 33، ص 12، قصيدةً بعنوان </w:t>
      </w:r>
      <w:r w:rsidRPr="00924380">
        <w:rPr>
          <w:rFonts w:hint="eastAsia"/>
          <w:spacing w:val="-4"/>
          <w:rtl/>
        </w:rPr>
        <w:t>«ا</w:t>
      </w:r>
      <w:r w:rsidRPr="00924380">
        <w:rPr>
          <w:rFonts w:hint="cs"/>
          <w:spacing w:val="-4"/>
          <w:rtl/>
        </w:rPr>
        <w:t>لاتحاد الإسلامي وضرورته</w:t>
      </w:r>
      <w:r w:rsidRPr="00924380">
        <w:rPr>
          <w:rFonts w:hint="eastAsia"/>
          <w:spacing w:val="-4"/>
          <w:rtl/>
        </w:rPr>
        <w:t xml:space="preserve">» </w:t>
      </w:r>
      <w:r w:rsidRPr="00924380">
        <w:rPr>
          <w:rFonts w:hint="cs"/>
          <w:spacing w:val="-4"/>
          <w:rtl/>
        </w:rPr>
        <w:t>ونشر الحاج سراج الأنصاري أيضًا مقالاً بعنوان «السنة والشيعة كلاهما مسلمون</w:t>
      </w:r>
      <w:r w:rsidRPr="00924380">
        <w:rPr>
          <w:rFonts w:hint="eastAsia"/>
          <w:spacing w:val="-4"/>
          <w:rtl/>
        </w:rPr>
        <w:t xml:space="preserve">» </w:t>
      </w:r>
      <w:r w:rsidRPr="00924380">
        <w:rPr>
          <w:rFonts w:hint="cs"/>
          <w:spacing w:val="-4"/>
          <w:rtl/>
        </w:rPr>
        <w:t>(مجلة «</w:t>
      </w:r>
      <w:r w:rsidRPr="008C7124">
        <w:rPr>
          <w:rStyle w:val="Char9"/>
          <w:rFonts w:hint="cs"/>
          <w:spacing w:val="-4"/>
          <w:sz w:val="20"/>
          <w:szCs w:val="20"/>
          <w:rtl/>
        </w:rPr>
        <w:t>آ</w:t>
      </w:r>
      <w:r>
        <w:rPr>
          <w:rStyle w:val="Char9"/>
          <w:rFonts w:hint="cs"/>
          <w:spacing w:val="-4"/>
          <w:sz w:val="20"/>
          <w:szCs w:val="20"/>
          <w:rtl/>
        </w:rPr>
        <w:t>یی</w:t>
      </w:r>
      <w:r w:rsidRPr="008C7124">
        <w:rPr>
          <w:rStyle w:val="Char9"/>
          <w:rFonts w:hint="cs"/>
          <w:spacing w:val="-4"/>
          <w:sz w:val="20"/>
          <w:szCs w:val="20"/>
          <w:rtl/>
        </w:rPr>
        <w:t>ن اسلام</w:t>
      </w:r>
      <w:r w:rsidRPr="00924380">
        <w:rPr>
          <w:rFonts w:hint="eastAsia"/>
          <w:spacing w:val="-4"/>
          <w:rtl/>
        </w:rPr>
        <w:t xml:space="preserve">» </w:t>
      </w:r>
      <w:r w:rsidRPr="00924380">
        <w:rPr>
          <w:rFonts w:hint="cs"/>
          <w:spacing w:val="-4"/>
          <w:rtl/>
        </w:rPr>
        <w:t xml:space="preserve">[شريعة الإسلام]، السنة 4، العدد 26، ص 75) قدم فيه توضيحات حول هذا الموضوع، وكان ذلك المقال في الواقع ردًّا على أحد الانتقادات التي كان قد وجَّهها بعض أهل السنة إلى مقاله. </w:t>
      </w:r>
    </w:p>
  </w:footnote>
  <w:footnote w:id="109">
    <w:p w:rsidR="008C7124" w:rsidRPr="006E28E9" w:rsidRDefault="008C7124" w:rsidP="0092648A">
      <w:pPr>
        <w:pStyle w:val="FootnoteText"/>
      </w:pPr>
      <w:r w:rsidRPr="006E28E9">
        <w:rPr>
          <w:rFonts w:ascii="Arabic11 BT" w:hAnsi="Arabic11 BT" w:cs="Arabic11 BT"/>
        </w:rPr>
        <w:footnoteRef/>
      </w:r>
      <w:r w:rsidRPr="006E28E9">
        <w:rPr>
          <w:rFonts w:hint="cs"/>
          <w:rtl/>
        </w:rPr>
        <w:t>.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rPr>
        <w:t xml:space="preserve">» [شريعة الإسلام]، السنة 2، العدد 18، ص 10، وانظر: العدد 19، ص 3، تحت عنوان (الإسلام يحتاج إلى منظمة)، ربما كان هذا الاقتراح تعبير عما تم فيما بعد إنشاؤه تحت اسم منظمة المؤتمر الإسلامي. </w:t>
      </w:r>
    </w:p>
  </w:footnote>
  <w:footnote w:id="110">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انظر: </w:t>
      </w:r>
      <w:r w:rsidRPr="008C7124">
        <w:rPr>
          <w:rStyle w:val="Char9"/>
          <w:rFonts w:hint="cs"/>
          <w:sz w:val="20"/>
          <w:szCs w:val="20"/>
          <w:rtl/>
        </w:rPr>
        <w:t>منتخب الوثائق المتعلق</w:t>
      </w:r>
      <w:r>
        <w:rPr>
          <w:rStyle w:val="Char9"/>
          <w:rFonts w:hint="cs"/>
          <w:sz w:val="20"/>
          <w:szCs w:val="20"/>
          <w:rtl/>
        </w:rPr>
        <w:t>ۀ</w:t>
      </w:r>
      <w:r w:rsidRPr="008C7124">
        <w:rPr>
          <w:rStyle w:val="Char9"/>
          <w:rFonts w:hint="cs"/>
          <w:sz w:val="20"/>
          <w:szCs w:val="20"/>
          <w:rtl/>
        </w:rPr>
        <w:t xml:space="preserve"> بالعلاقات الخارج</w:t>
      </w:r>
      <w:r>
        <w:rPr>
          <w:rStyle w:val="Char9"/>
          <w:rFonts w:hint="cs"/>
          <w:sz w:val="20"/>
          <w:szCs w:val="20"/>
          <w:rtl/>
        </w:rPr>
        <w:t>یۀ</w:t>
      </w:r>
      <w:r w:rsidRPr="008C7124">
        <w:rPr>
          <w:rStyle w:val="Char9"/>
          <w:rFonts w:hint="cs"/>
          <w:sz w:val="20"/>
          <w:szCs w:val="20"/>
          <w:rtl/>
        </w:rPr>
        <w:t xml:space="preserve"> ب</w:t>
      </w:r>
      <w:r>
        <w:rPr>
          <w:rStyle w:val="Char9"/>
          <w:rFonts w:hint="cs"/>
          <w:sz w:val="20"/>
          <w:szCs w:val="20"/>
          <w:rtl/>
        </w:rPr>
        <w:t>ی</w:t>
      </w:r>
      <w:r w:rsidRPr="008C7124">
        <w:rPr>
          <w:rStyle w:val="Char9"/>
          <w:rFonts w:hint="cs"/>
          <w:sz w:val="20"/>
          <w:szCs w:val="20"/>
          <w:rtl/>
        </w:rPr>
        <w:t>ن إ</w:t>
      </w:r>
      <w:r>
        <w:rPr>
          <w:rStyle w:val="Char9"/>
          <w:rFonts w:hint="cs"/>
          <w:sz w:val="20"/>
          <w:szCs w:val="20"/>
          <w:rtl/>
        </w:rPr>
        <w:t>ی</w:t>
      </w:r>
      <w:r w:rsidRPr="008C7124">
        <w:rPr>
          <w:rStyle w:val="Char9"/>
          <w:rFonts w:hint="cs"/>
          <w:sz w:val="20"/>
          <w:szCs w:val="20"/>
          <w:rtl/>
        </w:rPr>
        <w:t>ران ومصر</w:t>
      </w:r>
      <w:r w:rsidRPr="006E28E9">
        <w:rPr>
          <w:rFonts w:hint="cs"/>
          <w:rtl/>
        </w:rPr>
        <w:t xml:space="preserve">، ج 2، ص 262-268. </w:t>
      </w:r>
    </w:p>
  </w:footnote>
  <w:footnote w:id="111">
    <w:p w:rsidR="008C7124" w:rsidRPr="006E28E9" w:rsidRDefault="008C7124" w:rsidP="0092648A">
      <w:pPr>
        <w:pStyle w:val="FootnoteText"/>
      </w:pPr>
      <w:r w:rsidRPr="006E28E9">
        <w:rPr>
          <w:rFonts w:ascii="Arabic11 BT" w:hAnsi="Arabic11 BT" w:cs="Arabic11 BT"/>
        </w:rPr>
        <w:footnoteRef/>
      </w:r>
      <w:r w:rsidRPr="006E28E9">
        <w:rPr>
          <w:rFonts w:hint="cs"/>
          <w:rtl/>
        </w:rPr>
        <w:t xml:space="preserve">. </w:t>
      </w:r>
      <w:r w:rsidRPr="006E28E9">
        <w:rPr>
          <w:rFonts w:hint="cs"/>
          <w:b/>
          <w:bCs/>
          <w:rtl/>
        </w:rPr>
        <w:t>الإسلام دين البشرية الأبدي</w:t>
      </w:r>
      <w:r w:rsidRPr="006E28E9">
        <w:rPr>
          <w:rFonts w:hint="cs"/>
          <w:rtl/>
        </w:rPr>
        <w:t>، ص 69، 210، وفي الصفحات 228- 257 ذكرت أمور عن البلدان المختلفة ونشاطات الجمعية فيها.</w:t>
      </w:r>
      <w:r w:rsidRPr="006E28E9">
        <w:rPr>
          <w:rtl/>
        </w:rPr>
        <w:t xml:space="preserve"> </w:t>
      </w:r>
    </w:p>
  </w:footnote>
  <w:footnote w:id="112">
    <w:p w:rsidR="008C7124" w:rsidRPr="006E28E9" w:rsidRDefault="008C7124" w:rsidP="0092648A">
      <w:pPr>
        <w:pStyle w:val="FootnoteText"/>
      </w:pPr>
      <w:r w:rsidRPr="006E28E9">
        <w:rPr>
          <w:rFonts w:ascii="Arabic11 BT" w:hAnsi="Arabic11 BT" w:cs="Arabic11 BT"/>
        </w:rPr>
        <w:footnoteRef/>
      </w:r>
      <w:r w:rsidRPr="006E28E9">
        <w:rPr>
          <w:rFonts w:hint="cs"/>
          <w:rtl/>
        </w:rPr>
        <w:t>. يوافق عقدي الأربعينيات والخمسينيات من القرن الميلادي العشرين.</w:t>
      </w:r>
      <w:r w:rsidRPr="006E28E9">
        <w:rPr>
          <w:rtl/>
        </w:rPr>
        <w:t xml:space="preserve"> </w:t>
      </w:r>
    </w:p>
  </w:footnote>
  <w:footnote w:id="11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يعتبر السيد دواني أن سابقة هذه الفكرة ت</w:t>
      </w:r>
      <w:r w:rsidRPr="006E28E9">
        <w:rPr>
          <w:rFonts w:hint="cs"/>
          <w:rtl/>
        </w:rPr>
        <w:t>رجع إلى</w:t>
      </w:r>
      <w:r w:rsidRPr="006E28E9">
        <w:rPr>
          <w:rStyle w:val="FootnoteReference"/>
          <w:rFonts w:hint="cs"/>
          <w:vertAlign w:val="baseline"/>
          <w:rtl/>
        </w:rPr>
        <w:t xml:space="preserve"> زمن آية الله البروجردي. انظر: مجلة </w:t>
      </w:r>
      <w:r>
        <w:rPr>
          <w:rStyle w:val="Char9"/>
          <w:rFonts w:hint="cs"/>
          <w:sz w:val="20"/>
          <w:szCs w:val="20"/>
          <w:rtl/>
        </w:rPr>
        <w:t>ی</w:t>
      </w:r>
      <w:r w:rsidRPr="008C7124">
        <w:rPr>
          <w:rStyle w:val="Char9"/>
          <w:rFonts w:hint="cs"/>
          <w:sz w:val="20"/>
          <w:szCs w:val="20"/>
          <w:rtl/>
        </w:rPr>
        <w:t>اد</w:t>
      </w:r>
      <w:r w:rsidRPr="006E28E9">
        <w:rPr>
          <w:rStyle w:val="FootnoteReference"/>
          <w:rFonts w:hint="cs"/>
          <w:vertAlign w:val="baseline"/>
          <w:rtl/>
        </w:rPr>
        <w:t>، العدد 28. (خريف، 1371 هـ.ش</w:t>
      </w:r>
      <w:r w:rsidRPr="006E28E9">
        <w:rPr>
          <w:rFonts w:hint="cs"/>
          <w:rtl/>
        </w:rPr>
        <w:t>/ 1992م</w:t>
      </w:r>
      <w:r w:rsidRPr="006E28E9">
        <w:rPr>
          <w:rStyle w:val="FootnoteReference"/>
          <w:rFonts w:hint="cs"/>
          <w:vertAlign w:val="baseline"/>
          <w:rtl/>
        </w:rPr>
        <w:t xml:space="preserve">)، ص 49 - 50. ويعتقد أن طرح مسألة تأسيس مدرسة لتربية الوعاظ وتعليم الخطابة يرجع إلى أواخر عهد السيد البروجردي، وأن هناك بعض الأسباب التي حالت دون تنفيذ تلك الرغبة، وأن إنشاء دار التبليغ كان امتدادًا لتلك الرغبة القديمة. انظر: مجلة </w:t>
      </w:r>
      <w:r>
        <w:rPr>
          <w:rStyle w:val="Char9"/>
          <w:rFonts w:hint="cs"/>
          <w:sz w:val="20"/>
          <w:szCs w:val="20"/>
          <w:rtl/>
        </w:rPr>
        <w:t>ی</w:t>
      </w:r>
      <w:r w:rsidRPr="008C7124">
        <w:rPr>
          <w:rStyle w:val="Char9"/>
          <w:rFonts w:hint="cs"/>
          <w:sz w:val="20"/>
          <w:szCs w:val="20"/>
          <w:rtl/>
        </w:rPr>
        <w:t>اد</w:t>
      </w:r>
      <w:r w:rsidRPr="006E28E9">
        <w:rPr>
          <w:rStyle w:val="FootnoteReference"/>
          <w:rFonts w:hint="cs"/>
          <w:vertAlign w:val="baseline"/>
          <w:rtl/>
        </w:rPr>
        <w:t xml:space="preserve">، العدد 29 - 30 (شتاء 1372هـ.ش وربيع 1373هـ.ش) [1994 - 1995م]، ص 491 - 493. </w:t>
      </w:r>
      <w:r w:rsidRPr="006E28E9">
        <w:rPr>
          <w:rFonts w:hint="cs"/>
          <w:rtl/>
        </w:rPr>
        <w:t>و</w:t>
      </w:r>
      <w:r w:rsidRPr="006E28E9">
        <w:rPr>
          <w:rStyle w:val="FootnoteReference"/>
          <w:rFonts w:hint="cs"/>
          <w:vertAlign w:val="baseline"/>
          <w:rtl/>
        </w:rPr>
        <w:t>يعود التفكير في إنشاء دار للتبليغ وإصلاح وضع الدعوة والتبليغ الديني إلى السنوات 1323 و1324هـ.ش [1944 و1945م]، وقد طرح ذلك الحاج سراج الأنصاري، ولاسيما المرحوم الشيخ عباس علي إسلامي في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Style w:val="FootnoteReference"/>
          <w:rFonts w:hint="cs"/>
          <w:vertAlign w:val="baseline"/>
          <w:rtl/>
        </w:rPr>
        <w:t>» [شريعة الإسلام].</w:t>
      </w:r>
    </w:p>
  </w:footnote>
  <w:footnote w:id="11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افتتح آية الله السيد محمد حجت كوهكمري هذه المدرسة سنة 1326 هـ.ش/1947م. للاطلاع على ملابسات افتتاحها انظر: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Style w:val="FootnoteReference"/>
          <w:rFonts w:hint="cs"/>
          <w:vertAlign w:val="baseline"/>
          <w:rtl/>
        </w:rPr>
        <w:t>» [شريعة</w:t>
      </w:r>
      <w:r w:rsidRPr="006E28E9">
        <w:rPr>
          <w:rFonts w:hint="cs"/>
          <w:rtl/>
        </w:rPr>
        <w:t xml:space="preserve"> </w:t>
      </w:r>
      <w:r w:rsidRPr="006E28E9">
        <w:rPr>
          <w:rStyle w:val="FootnoteReference"/>
          <w:rFonts w:hint="cs"/>
          <w:vertAlign w:val="baseline"/>
          <w:rtl/>
        </w:rPr>
        <w:t>الإسلام]، السنة 4، العدد 7، ص 10.</w:t>
      </w:r>
    </w:p>
  </w:footnote>
  <w:footnote w:id="11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 نقد عمر، صص 445 - 447. </w:t>
      </w:r>
    </w:p>
  </w:footnote>
  <w:footnote w:id="11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نقد عمر</w:t>
      </w:r>
      <w:r w:rsidRPr="006E28E9">
        <w:rPr>
          <w:rStyle w:val="FootnoteReference"/>
          <w:rFonts w:hint="cs"/>
          <w:vertAlign w:val="baseline"/>
          <w:rtl/>
        </w:rPr>
        <w:t>، ص 449-450.</w:t>
      </w:r>
      <w:r w:rsidRPr="006E28E9">
        <w:rPr>
          <w:rStyle w:val="FootnoteReference"/>
          <w:vertAlign w:val="baseline"/>
          <w:rtl/>
        </w:rPr>
        <w:t xml:space="preserve"> </w:t>
      </w:r>
    </w:p>
  </w:footnote>
  <w:footnote w:id="11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ربما حصل حفل افتتاح آخر في شهر بهمن من عام 1343 </w:t>
      </w:r>
      <w:r w:rsidRPr="006E28E9">
        <w:rPr>
          <w:rFonts w:hint="cs"/>
          <w:rtl/>
          <w:lang w:bidi="ar-SY"/>
        </w:rPr>
        <w:t>هـ.ش</w:t>
      </w:r>
      <w:r w:rsidRPr="006E28E9">
        <w:rPr>
          <w:rFonts w:hint="cs"/>
          <w:rtl/>
        </w:rPr>
        <w:t xml:space="preserve"> [يناير/ كانون الثاني، 1965م]، و</w:t>
      </w:r>
      <w:r w:rsidRPr="006E28E9">
        <w:rPr>
          <w:rStyle w:val="FootnoteReference"/>
          <w:rFonts w:hint="cs"/>
          <w:vertAlign w:val="baseline"/>
          <w:rtl/>
        </w:rPr>
        <w:t xml:space="preserve">تكلم فيه السيد دواني أيضًا، انظر: </w:t>
      </w:r>
      <w:r w:rsidRPr="008C7124">
        <w:rPr>
          <w:rStyle w:val="Char9"/>
          <w:rFonts w:hint="cs"/>
          <w:sz w:val="20"/>
          <w:szCs w:val="20"/>
          <w:rtl/>
        </w:rPr>
        <w:t>نقد عمر</w:t>
      </w:r>
      <w:r w:rsidRPr="006E28E9">
        <w:rPr>
          <w:rStyle w:val="FootnoteReference"/>
          <w:rFonts w:hint="cs"/>
          <w:vertAlign w:val="baseline"/>
          <w:rtl/>
        </w:rPr>
        <w:t>، ص 445.</w:t>
      </w:r>
      <w:r w:rsidRPr="006E28E9">
        <w:rPr>
          <w:rStyle w:val="FootnoteReference"/>
          <w:vertAlign w:val="baseline"/>
          <w:rtl/>
        </w:rPr>
        <w:t xml:space="preserve"> </w:t>
      </w:r>
    </w:p>
  </w:footnote>
  <w:footnote w:id="11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أورد الشيخ رازي أيضًا في كتابه </w:t>
      </w:r>
      <w:r w:rsidRPr="006E28E9">
        <w:rPr>
          <w:rStyle w:val="FootnoteReference"/>
          <w:rFonts w:hint="eastAsia"/>
          <w:vertAlign w:val="baseline"/>
          <w:rtl/>
        </w:rPr>
        <w:t>«</w:t>
      </w:r>
      <w:r w:rsidRPr="008C7124">
        <w:rPr>
          <w:rStyle w:val="Char9"/>
          <w:rFonts w:hint="cs"/>
          <w:sz w:val="20"/>
          <w:szCs w:val="20"/>
          <w:rtl/>
        </w:rPr>
        <w:t>گنج</w:t>
      </w:r>
      <w:r>
        <w:rPr>
          <w:rStyle w:val="Char9"/>
          <w:rFonts w:hint="cs"/>
          <w:sz w:val="20"/>
          <w:szCs w:val="20"/>
          <w:rtl/>
        </w:rPr>
        <w:t>ی</w:t>
      </w:r>
      <w:r w:rsidRPr="008C7124">
        <w:rPr>
          <w:rStyle w:val="Char9"/>
          <w:rFonts w:hint="cs"/>
          <w:sz w:val="20"/>
          <w:szCs w:val="20"/>
          <w:rtl/>
        </w:rPr>
        <w:t>نه دانشمندان</w:t>
      </w:r>
      <w:r w:rsidRPr="006E28E9">
        <w:rPr>
          <w:rStyle w:val="FootnoteReference"/>
          <w:rFonts w:hint="eastAsia"/>
          <w:vertAlign w:val="baseline"/>
          <w:rtl/>
        </w:rPr>
        <w:t xml:space="preserve">» </w:t>
      </w:r>
      <w:r w:rsidRPr="006E28E9">
        <w:rPr>
          <w:rStyle w:val="FootnoteReference"/>
          <w:rFonts w:hint="cs"/>
          <w:vertAlign w:val="baseline"/>
          <w:rtl/>
        </w:rPr>
        <w:t>[كنز العلماء] النص الكامل لكلمة السيد شريعتمداري.</w:t>
      </w:r>
      <w:r w:rsidRPr="006E28E9">
        <w:rPr>
          <w:rStyle w:val="FootnoteReference"/>
          <w:vertAlign w:val="baseline"/>
          <w:rtl/>
        </w:rPr>
        <w:t xml:space="preserve"> </w:t>
      </w:r>
    </w:p>
  </w:footnote>
  <w:footnote w:id="11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لاحظوا بيان الدروس في بحث: حوزة قم العلمية، لأبي محمد وكيلي القمي، نشر: مؤسسة مطالعات وتحقيقات اجتماعي [مؤسسة الدراسات والأبحاث الاجتماعية]، 1348هـ.ش</w:t>
      </w:r>
      <w:r w:rsidRPr="006E28E9">
        <w:rPr>
          <w:rFonts w:hint="cs"/>
          <w:rtl/>
        </w:rPr>
        <w:t>/1969م</w:t>
      </w:r>
      <w:r w:rsidRPr="006E28E9">
        <w:rPr>
          <w:rStyle w:val="FootnoteReference"/>
          <w:rFonts w:hint="cs"/>
          <w:vertAlign w:val="baseline"/>
          <w:rtl/>
        </w:rPr>
        <w:t>.</w:t>
      </w:r>
    </w:p>
  </w:footnote>
  <w:footnote w:id="12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أحد مصاعب دار التبليغ ومشاكلها أنها اتخذت طابعًا قوميًّا إذ أصبح محورها الطلاب الأتراك الآذريون، وهذا الأمر بذاته كان سببًا لنوع من النزاع والاختلاف بين طلاب العلوم الدينية في الحوزة. أغلب ميزانية دار التبليغ كان يتم تأمينها بواسطة الأموال التي يرسلها الأتراك ا</w:t>
      </w:r>
      <w:r w:rsidRPr="006E28E9">
        <w:rPr>
          <w:rFonts w:hint="cs"/>
          <w:rtl/>
        </w:rPr>
        <w:t>ل</w:t>
      </w:r>
      <w:r w:rsidRPr="006E28E9">
        <w:rPr>
          <w:rStyle w:val="FootnoteReference"/>
          <w:rFonts w:hint="cs"/>
          <w:vertAlign w:val="baseline"/>
          <w:rtl/>
        </w:rPr>
        <w:t>آذريون المقلدون لآية الله شريعتمداري.</w:t>
      </w:r>
      <w:r w:rsidRPr="006E28E9">
        <w:rPr>
          <w:rFonts w:hint="cs"/>
          <w:rtl/>
        </w:rPr>
        <w:t xml:space="preserve"> و</w:t>
      </w:r>
      <w:r w:rsidRPr="006E28E9">
        <w:rPr>
          <w:rStyle w:val="FootnoteReference"/>
          <w:rFonts w:hint="cs"/>
          <w:vertAlign w:val="baseline"/>
          <w:rtl/>
        </w:rPr>
        <w:t xml:space="preserve">من الجدير بالذكر أن بعض طلاب العلوم الدينية الثوريين الأتراك الآذريين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مثل السيد عبد المجيد إيرواني والسيد بني فضل- كانوا أيضًا معارضين لدار التبليغ.</w:t>
      </w:r>
      <w:r w:rsidRPr="006E28E9">
        <w:rPr>
          <w:rFonts w:hint="cs"/>
          <w:rtl/>
        </w:rPr>
        <w:t xml:space="preserve"> </w:t>
      </w:r>
      <w:r w:rsidRPr="006E28E9">
        <w:rPr>
          <w:rStyle w:val="FootnoteReference"/>
          <w:rFonts w:hint="cs"/>
          <w:vertAlign w:val="baseline"/>
          <w:rtl/>
        </w:rPr>
        <w:t xml:space="preserve">انظر: مجلة ياد، العدد 28 (1371هـ.ش)، ص 35- 37، وهناك مصدر آخر أيضًا أشار إلى هذا الاختلاف والنزاع بين الطلاب الأتراك وغيرهم بل بين الطلاب الأتراك أنفسهم، انظر: </w:t>
      </w:r>
      <w:r w:rsidRPr="008C7124">
        <w:rPr>
          <w:rStyle w:val="Char9"/>
          <w:rFonts w:hint="cs"/>
          <w:sz w:val="20"/>
          <w:szCs w:val="20"/>
          <w:rtl/>
        </w:rPr>
        <w:t>زندگ</w:t>
      </w:r>
      <w:r>
        <w:rPr>
          <w:rStyle w:val="Char9"/>
          <w:rFonts w:hint="cs"/>
          <w:sz w:val="20"/>
          <w:szCs w:val="20"/>
          <w:rtl/>
        </w:rPr>
        <w:t>ی</w:t>
      </w:r>
      <w:r w:rsidRPr="008C7124">
        <w:rPr>
          <w:rStyle w:val="Char9"/>
          <w:rFonts w:hint="cs"/>
          <w:sz w:val="20"/>
          <w:szCs w:val="20"/>
          <w:rtl/>
        </w:rPr>
        <w:t xml:space="preserve"> ومبارزات شه</w:t>
      </w:r>
      <w:r>
        <w:rPr>
          <w:rStyle w:val="Char9"/>
          <w:rFonts w:hint="cs"/>
          <w:sz w:val="20"/>
          <w:szCs w:val="20"/>
          <w:rtl/>
        </w:rPr>
        <w:t>ی</w:t>
      </w:r>
      <w:r w:rsidRPr="008C7124">
        <w:rPr>
          <w:rStyle w:val="Char9"/>
          <w:rFonts w:hint="cs"/>
          <w:sz w:val="20"/>
          <w:szCs w:val="20"/>
          <w:rtl/>
        </w:rPr>
        <w:t>د آ</w:t>
      </w:r>
      <w:r>
        <w:rPr>
          <w:rStyle w:val="Char9"/>
          <w:rFonts w:hint="cs"/>
          <w:sz w:val="20"/>
          <w:szCs w:val="20"/>
          <w:rtl/>
        </w:rPr>
        <w:t>ی</w:t>
      </w:r>
      <w:r w:rsidRPr="008C7124">
        <w:rPr>
          <w:rStyle w:val="Char9"/>
          <w:rFonts w:hint="cs"/>
          <w:sz w:val="20"/>
          <w:szCs w:val="20"/>
          <w:rtl/>
        </w:rPr>
        <w:t>ت الله قاض</w:t>
      </w:r>
      <w:r>
        <w:rPr>
          <w:rStyle w:val="Char9"/>
          <w:rFonts w:hint="cs"/>
          <w:sz w:val="20"/>
          <w:szCs w:val="20"/>
          <w:rtl/>
        </w:rPr>
        <w:t>ی</w:t>
      </w:r>
      <w:r w:rsidRPr="008C7124">
        <w:rPr>
          <w:rStyle w:val="Char9"/>
          <w:rFonts w:hint="cs"/>
          <w:sz w:val="20"/>
          <w:szCs w:val="20"/>
          <w:rtl/>
        </w:rPr>
        <w:t xml:space="preserve"> طباطبائ</w:t>
      </w:r>
      <w:r>
        <w:rPr>
          <w:rStyle w:val="Char9"/>
          <w:rFonts w:hint="cs"/>
          <w:sz w:val="20"/>
          <w:szCs w:val="20"/>
          <w:rtl/>
        </w:rPr>
        <w:t>ی</w:t>
      </w:r>
      <w:r w:rsidRPr="008C7124">
        <w:rPr>
          <w:rStyle w:val="Char9"/>
          <w:rFonts w:hint="cs"/>
          <w:sz w:val="20"/>
          <w:szCs w:val="20"/>
          <w:rtl/>
        </w:rPr>
        <w:t xml:space="preserve"> </w:t>
      </w:r>
      <w:r w:rsidRPr="006E28E9">
        <w:rPr>
          <w:rStyle w:val="FootnoteReference"/>
          <w:rFonts w:hint="cs"/>
          <w:vertAlign w:val="baseline"/>
          <w:rtl/>
        </w:rPr>
        <w:t xml:space="preserve">[حياة الشهيد آية الله قاضي الطباطبائي وكفاحه]، ص 212.  </w:t>
      </w:r>
    </w:p>
  </w:footnote>
  <w:footnote w:id="12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نقد عمر</w:t>
      </w:r>
      <w:r w:rsidRPr="006E28E9">
        <w:rPr>
          <w:rStyle w:val="FootnoteReference"/>
          <w:rFonts w:hint="cs"/>
          <w:vertAlign w:val="baseline"/>
          <w:rtl/>
        </w:rPr>
        <w:t>، ص 456.</w:t>
      </w:r>
      <w:r w:rsidRPr="006E28E9">
        <w:rPr>
          <w:rStyle w:val="FootnoteReference"/>
          <w:vertAlign w:val="baseline"/>
          <w:rtl/>
        </w:rPr>
        <w:t xml:space="preserve"> </w:t>
      </w:r>
    </w:p>
  </w:footnote>
  <w:footnote w:id="12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بعض الطلاب ينظرون إلى المسألة على النحو الآتي:</w:t>
      </w:r>
      <w:r w:rsidRPr="006E28E9">
        <w:rPr>
          <w:rFonts w:hint="cs"/>
          <w:rtl/>
        </w:rPr>
        <w:t xml:space="preserve"> </w:t>
      </w:r>
      <w:r w:rsidRPr="006E28E9">
        <w:rPr>
          <w:rStyle w:val="FootnoteReference"/>
          <w:rFonts w:hint="cs"/>
          <w:vertAlign w:val="baseline"/>
          <w:rtl/>
        </w:rPr>
        <w:t>كانوا يرون أن الشاه يسعى إلى بسط نفوذه في الحوزة العلمية، وقد فكر بعد عام 1343هـ.ش/</w:t>
      </w:r>
      <w:r w:rsidRPr="006E28E9">
        <w:rPr>
          <w:rFonts w:hint="cs"/>
          <w:rtl/>
        </w:rPr>
        <w:t>1964</w:t>
      </w:r>
      <w:r w:rsidRPr="006E28E9">
        <w:rPr>
          <w:rStyle w:val="FootnoteReference"/>
          <w:rFonts w:hint="cs"/>
          <w:vertAlign w:val="baseline"/>
          <w:rtl/>
        </w:rPr>
        <w:t>م، أ</w:t>
      </w:r>
      <w:r w:rsidRPr="006E28E9">
        <w:rPr>
          <w:rFonts w:hint="cs"/>
          <w:rtl/>
        </w:rPr>
        <w:t>ن يؤسس</w:t>
      </w:r>
      <w:r w:rsidRPr="006E28E9">
        <w:rPr>
          <w:rStyle w:val="FootnoteReference"/>
          <w:rFonts w:hint="cs"/>
          <w:vertAlign w:val="baseline"/>
          <w:rtl/>
        </w:rPr>
        <w:t xml:space="preserve"> جامعة</w:t>
      </w:r>
      <w:r w:rsidRPr="006E28E9">
        <w:rPr>
          <w:rFonts w:hint="cs"/>
          <w:rtl/>
        </w:rPr>
        <w:t>ً</w:t>
      </w:r>
      <w:r w:rsidRPr="006E28E9">
        <w:rPr>
          <w:rStyle w:val="FootnoteReference"/>
          <w:rFonts w:hint="cs"/>
          <w:vertAlign w:val="baseline"/>
          <w:rtl/>
        </w:rPr>
        <w:t xml:space="preserve"> إسلامية</w:t>
      </w:r>
      <w:r w:rsidRPr="006E28E9">
        <w:rPr>
          <w:rFonts w:hint="cs"/>
          <w:rtl/>
        </w:rPr>
        <w:t>ً</w:t>
      </w:r>
      <w:r w:rsidRPr="006E28E9">
        <w:rPr>
          <w:rStyle w:val="FootnoteReference"/>
          <w:rFonts w:hint="cs"/>
          <w:vertAlign w:val="baseline"/>
          <w:rtl/>
        </w:rPr>
        <w:t xml:space="preserve"> ع</w:t>
      </w:r>
      <w:r w:rsidRPr="006E28E9">
        <w:rPr>
          <w:rFonts w:hint="cs"/>
          <w:rtl/>
        </w:rPr>
        <w:t>لى مزاجه</w:t>
      </w:r>
      <w:r w:rsidRPr="006E28E9">
        <w:rPr>
          <w:rStyle w:val="FootnoteReference"/>
          <w:rFonts w:hint="cs"/>
          <w:vertAlign w:val="baseline"/>
          <w:rtl/>
        </w:rPr>
        <w:t xml:space="preserve"> و</w:t>
      </w:r>
      <w:r w:rsidRPr="006E28E9">
        <w:rPr>
          <w:rFonts w:hint="cs"/>
          <w:rtl/>
        </w:rPr>
        <w:t>طبقًا للمناهج التي ت</w:t>
      </w:r>
      <w:r w:rsidRPr="006E28E9">
        <w:rPr>
          <w:rStyle w:val="FootnoteReference"/>
          <w:rFonts w:hint="cs"/>
          <w:vertAlign w:val="baseline"/>
          <w:rtl/>
        </w:rPr>
        <w:t xml:space="preserve">عجبه، ولما فشل في تحقيق ذلك اتجه إلى دعم دار التبليغ الإسلامي. انظر: </w:t>
      </w:r>
      <w:r w:rsidRPr="008C7124">
        <w:rPr>
          <w:rStyle w:val="Char9"/>
          <w:rFonts w:hint="cs"/>
          <w:sz w:val="20"/>
          <w:szCs w:val="20"/>
          <w:rtl/>
        </w:rPr>
        <w:t>خاطرت ومبارزات شه</w:t>
      </w:r>
      <w:r>
        <w:rPr>
          <w:rStyle w:val="Char9"/>
          <w:rFonts w:hint="cs"/>
          <w:sz w:val="20"/>
          <w:szCs w:val="20"/>
          <w:rtl/>
        </w:rPr>
        <w:t>ی</w:t>
      </w:r>
      <w:r w:rsidRPr="008C7124">
        <w:rPr>
          <w:rStyle w:val="Char9"/>
          <w:rFonts w:hint="cs"/>
          <w:sz w:val="20"/>
          <w:szCs w:val="20"/>
          <w:rtl/>
        </w:rPr>
        <w:t>د محلات</w:t>
      </w:r>
      <w:r>
        <w:rPr>
          <w:rStyle w:val="Char9"/>
          <w:rFonts w:hint="cs"/>
          <w:sz w:val="20"/>
          <w:szCs w:val="20"/>
          <w:rtl/>
        </w:rPr>
        <w:t>ی</w:t>
      </w:r>
      <w:r w:rsidRPr="006E28E9">
        <w:rPr>
          <w:rStyle w:val="FootnoteReference"/>
          <w:rFonts w:hint="cs"/>
          <w:vertAlign w:val="baseline"/>
          <w:rtl/>
        </w:rPr>
        <w:t xml:space="preserve"> [مذكرات الشهيد محلاتي وكفاحه]، ص 60-62؛ وقد جرت حوارات ونقاشات عديدة بين المرحوم شريعتمداري ومسؤولي جهاز الأمن والاستخبارات (السافاك] حول دار التبليغ</w:t>
      </w:r>
      <w:r w:rsidRPr="006E28E9">
        <w:rPr>
          <w:rFonts w:hint="cs"/>
          <w:rtl/>
        </w:rPr>
        <w:t>،</w:t>
      </w:r>
      <w:r w:rsidRPr="006E28E9">
        <w:rPr>
          <w:rStyle w:val="FootnoteReference"/>
          <w:rFonts w:hint="cs"/>
          <w:vertAlign w:val="baseline"/>
          <w:rtl/>
        </w:rPr>
        <w:t xml:space="preserve"> أورد بعض وثائقها السيد حميد روحاني في كتابه </w:t>
      </w:r>
      <w:r w:rsidRPr="006E28E9">
        <w:rPr>
          <w:rStyle w:val="FootnoteReference"/>
          <w:rFonts w:hint="eastAsia"/>
          <w:vertAlign w:val="baseline"/>
          <w:rtl/>
        </w:rPr>
        <w:t>«ش</w:t>
      </w:r>
      <w:r w:rsidRPr="006E28E9">
        <w:rPr>
          <w:rStyle w:val="FootnoteReference"/>
          <w:rFonts w:hint="cs"/>
          <w:vertAlign w:val="baseline"/>
          <w:rtl/>
        </w:rPr>
        <w:t>ريعتمداري في محكمة التاريخ</w:t>
      </w:r>
      <w:r w:rsidRPr="006E28E9">
        <w:rPr>
          <w:rStyle w:val="FootnoteReference"/>
          <w:rFonts w:hint="eastAsia"/>
          <w:vertAlign w:val="baseline"/>
          <w:rtl/>
        </w:rPr>
        <w:t>»</w:t>
      </w:r>
      <w:r w:rsidRPr="006E28E9">
        <w:rPr>
          <w:rStyle w:val="FootnoteReference"/>
          <w:rFonts w:hint="cs"/>
          <w:vertAlign w:val="baseline"/>
          <w:rtl/>
        </w:rPr>
        <w:t>.</w:t>
      </w:r>
    </w:p>
    <w:p w:rsidR="008C7124" w:rsidRPr="006E28E9" w:rsidRDefault="008C7124" w:rsidP="0092648A">
      <w:pPr>
        <w:pStyle w:val="FootnoteText"/>
        <w:rPr>
          <w:rStyle w:val="FootnoteReference"/>
          <w:vertAlign w:val="baseline"/>
        </w:rPr>
      </w:pPr>
      <w:r w:rsidRPr="006E28E9">
        <w:rPr>
          <w:rStyle w:val="FootnoteReference"/>
          <w:rFonts w:hint="cs"/>
          <w:vertAlign w:val="baseline"/>
          <w:rtl/>
        </w:rPr>
        <w:tab/>
        <w:t xml:space="preserve"> إن قصة النزاعات بين طلاب العلوم الدينية المؤيدين للثورة والطلاب المؤيدين للمرحوم شريعتمداري قصة طويلة ذكرت أخبارها في مذكرات كثير من المناضلين الثوريين في تلك المرحلة الزمنية ونشرت مؤخرًا، ومن الضروري التذكير بأن تقابل المرحوم شريعتمداري مع الشاه في مدرسة الطالبية في تبريز وكلامه مع</w:t>
      </w:r>
      <w:r w:rsidRPr="006E28E9">
        <w:rPr>
          <w:rFonts w:hint="cs"/>
          <w:rtl/>
        </w:rPr>
        <w:t>ه</w:t>
      </w:r>
      <w:r w:rsidRPr="006E28E9">
        <w:rPr>
          <w:rStyle w:val="FootnoteReference"/>
          <w:rFonts w:hint="cs"/>
          <w:vertAlign w:val="baseline"/>
          <w:rtl/>
        </w:rPr>
        <w:t xml:space="preserve"> ترك أثرًا وانطباعًا </w:t>
      </w:r>
      <w:r w:rsidRPr="006E28E9">
        <w:rPr>
          <w:rFonts w:hint="cs"/>
          <w:rtl/>
        </w:rPr>
        <w:t xml:space="preserve">سيئًا عنه </w:t>
      </w:r>
      <w:r w:rsidRPr="006E28E9">
        <w:rPr>
          <w:rStyle w:val="FootnoteReference"/>
          <w:rFonts w:hint="cs"/>
          <w:vertAlign w:val="baseline"/>
          <w:rtl/>
        </w:rPr>
        <w:t xml:space="preserve">وخلق- بشكل طبيعي </w:t>
      </w:r>
      <w:r w:rsidRPr="006E28E9">
        <w:rPr>
          <w:rFonts w:hint="cs"/>
          <w:rtl/>
        </w:rPr>
        <w:t xml:space="preserve">- </w:t>
      </w:r>
      <w:r w:rsidRPr="006E28E9">
        <w:rPr>
          <w:rStyle w:val="FootnoteReference"/>
          <w:rFonts w:hint="cs"/>
          <w:vertAlign w:val="baseline"/>
          <w:rtl/>
        </w:rPr>
        <w:t>أوهامًا بقيت في الأذهان في هذا الصدد. للاطلاع على نص كلمة شريعتمداري في ذلك الموقف انظر: مجلة «آيين اسلام»</w:t>
      </w:r>
      <w:r w:rsidRPr="006E28E9">
        <w:rPr>
          <w:rFonts w:hint="cs"/>
          <w:rtl/>
        </w:rPr>
        <w:t xml:space="preserve"> [شريعة </w:t>
      </w:r>
      <w:r w:rsidRPr="006E28E9">
        <w:rPr>
          <w:rFonts w:hint="cs"/>
          <w:rtl/>
          <w:lang w:bidi="ar-SY"/>
        </w:rPr>
        <w:t>الإسلام</w:t>
      </w:r>
      <w:r w:rsidRPr="006E28E9">
        <w:rPr>
          <w:rFonts w:hint="cs"/>
          <w:rtl/>
        </w:rPr>
        <w:t>]</w:t>
      </w:r>
      <w:r w:rsidRPr="006E28E9">
        <w:rPr>
          <w:rStyle w:val="FootnoteReference"/>
          <w:rFonts w:hint="cs"/>
          <w:vertAlign w:val="baseline"/>
          <w:rtl/>
        </w:rPr>
        <w:t>، السنة 4، العدد 10، ص10.</w:t>
      </w:r>
    </w:p>
  </w:footnote>
  <w:footnote w:id="12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نقد عمر</w:t>
      </w:r>
      <w:r w:rsidRPr="006E28E9">
        <w:rPr>
          <w:rStyle w:val="FootnoteReference"/>
          <w:rFonts w:hint="cs"/>
          <w:vertAlign w:val="baseline"/>
          <w:rtl/>
        </w:rPr>
        <w:t>، ص.</w:t>
      </w:r>
    </w:p>
  </w:footnote>
  <w:footnote w:id="12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نقد عمر</w:t>
      </w:r>
      <w:r w:rsidRPr="006E28E9">
        <w:rPr>
          <w:rStyle w:val="FootnoteReference"/>
          <w:rFonts w:hint="cs"/>
          <w:vertAlign w:val="baseline"/>
          <w:rtl/>
        </w:rPr>
        <w:t>، ص 457.</w:t>
      </w:r>
    </w:p>
  </w:footnote>
  <w:footnote w:id="12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نقد عمر</w:t>
      </w:r>
      <w:r w:rsidRPr="006E28E9">
        <w:rPr>
          <w:rStyle w:val="FootnoteReference"/>
          <w:rFonts w:hint="cs"/>
          <w:vertAlign w:val="baseline"/>
          <w:rtl/>
        </w:rPr>
        <w:t>، ص 458- 459.</w:t>
      </w:r>
    </w:p>
  </w:footnote>
  <w:footnote w:id="12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مفاخر إسلام</w:t>
      </w:r>
      <w:r w:rsidRPr="006E28E9">
        <w:rPr>
          <w:rStyle w:val="FootnoteReference"/>
          <w:rFonts w:hint="cs"/>
          <w:vertAlign w:val="baseline"/>
          <w:rtl/>
        </w:rPr>
        <w:t>، ج 13، ص 163.</w:t>
      </w:r>
    </w:p>
  </w:footnote>
  <w:footnote w:id="12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Fonts w:hint="cs"/>
          <w:rtl/>
        </w:rPr>
        <w:t xml:space="preserve"> </w:t>
      </w:r>
      <w:r w:rsidRPr="006E28E9">
        <w:rPr>
          <w:rFonts w:hint="cs"/>
          <w:rtl/>
        </w:rPr>
        <w:t xml:space="preserve">الساواك هو: اسم </w:t>
      </w:r>
      <w:r w:rsidRPr="006E28E9">
        <w:rPr>
          <w:rtl/>
        </w:rPr>
        <w:t>جهاز الأمن والمخابرات الإيراني في عهد الشاه</w:t>
      </w:r>
      <w:r w:rsidRPr="006E28E9">
        <w:rPr>
          <w:rFonts w:hint="cs"/>
          <w:rtl/>
        </w:rPr>
        <w:t>.</w:t>
      </w:r>
    </w:p>
  </w:footnote>
  <w:footnote w:id="12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ی</w:t>
      </w:r>
      <w:r w:rsidRPr="008C7124">
        <w:rPr>
          <w:rStyle w:val="Char9"/>
          <w:rFonts w:hint="cs"/>
          <w:sz w:val="20"/>
          <w:szCs w:val="20"/>
          <w:rtl/>
        </w:rPr>
        <w:t>اران امام بروا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[أنصار الإمام حسب رواية جهاز </w:t>
      </w:r>
      <w:r w:rsidRPr="006E28E9">
        <w:rPr>
          <w:rFonts w:hint="cs"/>
          <w:rtl/>
        </w:rPr>
        <w:t xml:space="preserve">الأمن والاستخبارات: </w:t>
      </w:r>
      <w:r w:rsidRPr="006E28E9">
        <w:rPr>
          <w:rStyle w:val="FootnoteReference"/>
          <w:rFonts w:hint="cs"/>
          <w:vertAlign w:val="baseline"/>
          <w:rtl/>
        </w:rPr>
        <w:t>السافاك]، معلم أخلاق، ص 94-95.</w:t>
      </w:r>
    </w:p>
  </w:footnote>
  <w:footnote w:id="129">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آقا</w:t>
      </w:r>
      <w:r>
        <w:rPr>
          <w:rStyle w:val="Char9"/>
          <w:rFonts w:hint="cs"/>
          <w:sz w:val="20"/>
          <w:szCs w:val="20"/>
          <w:rtl/>
        </w:rPr>
        <w:t>ی</w:t>
      </w:r>
      <w:r w:rsidRPr="008C7124">
        <w:rPr>
          <w:rStyle w:val="Char9"/>
          <w:rFonts w:hint="cs"/>
          <w:sz w:val="20"/>
          <w:szCs w:val="20"/>
          <w:rtl/>
        </w:rPr>
        <w:t xml:space="preserve"> منتظر</w:t>
      </w:r>
      <w:r>
        <w:rPr>
          <w:rStyle w:val="Char9"/>
          <w:rFonts w:hint="cs"/>
          <w:sz w:val="20"/>
          <w:szCs w:val="20"/>
          <w:rtl/>
        </w:rPr>
        <w:t>ی</w:t>
      </w:r>
      <w:r w:rsidRPr="006E28E9">
        <w:rPr>
          <w:rStyle w:val="FootnoteReference"/>
          <w:rFonts w:hint="cs"/>
          <w:vertAlign w:val="baseline"/>
          <w:rtl/>
        </w:rPr>
        <w:t xml:space="preserve"> [مذكرات الشيخ منتظري]،</w:t>
      </w:r>
      <w:r w:rsidRPr="006E28E9">
        <w:rPr>
          <w:rFonts w:hint="cs"/>
          <w:rtl/>
        </w:rPr>
        <w:t xml:space="preserve"> ج1، ص 215؛ مجله </w:t>
      </w:r>
      <w:r>
        <w:rPr>
          <w:rStyle w:val="Char9"/>
          <w:rFonts w:hint="cs"/>
          <w:sz w:val="20"/>
          <w:szCs w:val="20"/>
          <w:rtl/>
        </w:rPr>
        <w:t>ی</w:t>
      </w:r>
      <w:r w:rsidRPr="008C7124">
        <w:rPr>
          <w:rStyle w:val="Char9"/>
          <w:rFonts w:hint="cs"/>
          <w:sz w:val="20"/>
          <w:szCs w:val="20"/>
          <w:rtl/>
        </w:rPr>
        <w:t>اد</w:t>
      </w:r>
      <w:r w:rsidRPr="006E28E9">
        <w:rPr>
          <w:rFonts w:hint="cs"/>
          <w:rtl/>
        </w:rPr>
        <w:t xml:space="preserve">، العدد 28 (خريف  1371 </w:t>
      </w:r>
      <w:r w:rsidRPr="006E28E9">
        <w:rPr>
          <w:rFonts w:hint="cs"/>
          <w:rtl/>
          <w:lang w:bidi="ar-SY"/>
        </w:rPr>
        <w:t>هـ.ش/1992م)، ص 36 - 37.</w:t>
      </w:r>
    </w:p>
  </w:footnote>
  <w:footnote w:id="130">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آقا</w:t>
      </w:r>
      <w:r>
        <w:rPr>
          <w:rStyle w:val="Char9"/>
          <w:rFonts w:hint="cs"/>
          <w:sz w:val="20"/>
          <w:szCs w:val="20"/>
          <w:rtl/>
        </w:rPr>
        <w:t>ی</w:t>
      </w:r>
      <w:r w:rsidRPr="008C7124">
        <w:rPr>
          <w:rStyle w:val="Char9"/>
          <w:rFonts w:hint="cs"/>
          <w:sz w:val="20"/>
          <w:szCs w:val="20"/>
          <w:rtl/>
        </w:rPr>
        <w:t xml:space="preserve"> منتظر</w:t>
      </w:r>
      <w:r>
        <w:rPr>
          <w:rStyle w:val="Char9"/>
          <w:rFonts w:hint="cs"/>
          <w:sz w:val="20"/>
          <w:szCs w:val="20"/>
          <w:rtl/>
        </w:rPr>
        <w:t>ی</w:t>
      </w:r>
      <w:r w:rsidRPr="006E28E9">
        <w:rPr>
          <w:rStyle w:val="FootnoteReference"/>
          <w:rFonts w:hint="cs"/>
          <w:vertAlign w:val="baseline"/>
          <w:rtl/>
        </w:rPr>
        <w:t xml:space="preserve"> [مذكرات الشيخ منتظري]، ص 216؛ ويضيف الشيخ منتظري قائلاً: «كان لدى شريعتمداري نوع من الأعمال الثقافية التنويرية العصرية، كان في حد ذاته شخص</w:t>
      </w:r>
      <w:r w:rsidRPr="006E28E9">
        <w:rPr>
          <w:rFonts w:hint="cs"/>
          <w:rtl/>
        </w:rPr>
        <w:t>ً</w:t>
      </w:r>
      <w:r w:rsidRPr="006E28E9">
        <w:rPr>
          <w:rStyle w:val="FootnoteReference"/>
          <w:rFonts w:hint="cs"/>
          <w:vertAlign w:val="baseline"/>
          <w:rtl/>
        </w:rPr>
        <w:t>ا من دعاة الإصلاح، لكنه لم يكن يتمتع بشجاعة الاصطدام بالشاه.... هذا لا يعني بالطبع أنه كان مداهنًا للشاه أو متماشيًا مع سياساته، كل ما في الأمر أنه لم تكن لديه تلك الشجاعة للوقوف بوجه الشاه والاشتباك معه، التي كانت لدى السيد الخميني». (المصدر نفسه، ص 217).</w:t>
      </w:r>
    </w:p>
    <w:p w:rsidR="008C7124" w:rsidRPr="006E28E9" w:rsidRDefault="008C7124" w:rsidP="0092648A">
      <w:pPr>
        <w:pStyle w:val="FootnoteText"/>
        <w:rPr>
          <w:rStyle w:val="FootnoteReference"/>
          <w:vertAlign w:val="baseline"/>
          <w:rtl/>
          <w:lang w:bidi="ar-SY"/>
        </w:rPr>
      </w:pPr>
      <w:r w:rsidRPr="006E28E9">
        <w:rPr>
          <w:rFonts w:hint="cs"/>
          <w:rtl/>
          <w:lang w:bidi="ar-SY"/>
        </w:rPr>
        <w:tab/>
        <w:t>يمكن أن نفهم كلمة «مهادنة» على عدة معانٍ. إن وجود بعض الخصال النفسية، يؤدي - مع الأسف - في حوادث النضال وتقدم بعض المراجع الذين يَنْظُرُ إليهم آخرون كمنافسين لهم، كثيرًا ما تقع أعمال غير صحيحة؛ وهذا الأمر تواصل بعد انتصار الثورة، والصراعات الحزبية التي وقعت بعد الثورة على خلفية هذا الموضوع ذاته، كان سببها دوافع تنافسية وأخلاقية أكثر منها دوافع فكرية تنويرية، وقد خلقت هذه الصراعات صعوبات كثيرة. إذا تركنا مثل هذه الخصال النفسية جانبًا فإن أصل القول بأن المرحوم شريعتمداري، بسبب عدم امتلاكه للشجاعة اللازمة وكذلك من ناحية امتلاكه لأفكار سياسية مختلفة، لم يكن متفقًا مع مسيرة الثورة، هو قول صحيح لا خلاف عليه. ولكن رغم ذلك يبدو لنا أن سوء ظن بعض الثوريين تجاه دار التبليغ كان قد بلغ مرحلةً مفرطةً مبالغًا فيها. (انظروا إلى كلام السيد هادي خامنئي في مجلة «</w:t>
      </w:r>
      <w:r>
        <w:rPr>
          <w:rStyle w:val="Char9"/>
          <w:rFonts w:hint="cs"/>
          <w:sz w:val="20"/>
          <w:szCs w:val="20"/>
          <w:rtl/>
        </w:rPr>
        <w:t>ی</w:t>
      </w:r>
      <w:r w:rsidRPr="008C7124">
        <w:rPr>
          <w:rStyle w:val="Char9"/>
          <w:rFonts w:hint="cs"/>
          <w:sz w:val="20"/>
          <w:szCs w:val="20"/>
          <w:rtl/>
        </w:rPr>
        <w:t>اد</w:t>
      </w:r>
      <w:r w:rsidRPr="006E28E9">
        <w:rPr>
          <w:rFonts w:hint="cs"/>
          <w:rtl/>
          <w:lang w:bidi="ar-SY"/>
        </w:rPr>
        <w:t xml:space="preserve">»، العدد 28، خريف 1371 هـ.ش/1992م)، ص 39 - 41). كانت مواقف السيد شريعتمداري في مشارف إنطلاق الثورة مؤيدة لوجهات نظر الشخصيات والوجوه الثورية المعروفة. في الواقع كان المرحوم شريعتمداري، من الناحية الشخصية، يعتبر نفسه جديرًا بالزعامة، وبما أنه كان يعتقد أنه لا ينبغي اتباع أساليب وطرق متطرفة في العمل السياسي، كان من الطبيعي أن يتحول -من جهة- إلى  منتقدٍ للإمام الخميني، وأن يصبح - من الجهة الأخرى - موضعًا لطمع النظام فيه. ولما التقى فيه شخص من جهاز السافاك (أي جهاز الأمن والمخابرات) بتاريخ 16/11/1356 هـ.ش (= 5/2/1978م) وسأله عن رأيه في الإمام الخميني؟ أجاب: «بأن الإمام الخميني رجع إليه في بداية الأمر عند طرحت مسألة جمعيات الولايات والمحافظات، وأراد منه القيام بأمور مخالفة، وبما أن الخميني كان صاحب منهج فكري وأسلوب متطرف، فإنه [أي شريعتمداري] لم يتعاون معه، ومنذ ذلك الزمن اتجه الخميني إلى معارضة شريعتمداري ومخالفته. وبعد ذلك لم يقع بينه وبين الإمام الخميني أي اتصال أو علاقة. كان يرى في الخميني عنصرًا مضرًّا بمصلحة البلاد والشعب». ويضيف رجل الأمن (السافاك) قائلًا: «كان شريعتمداري يعتبر أن وجوده ووجود مذهب الشيعة رهين ببقاء مقام الملكية الشامخ، وكان يرى أن مساعي الخميني ضد نظام الملكية في البلاد خطر حتمي يهدِّد وجود الدين والمذهب والشعب، ولذلك السبب لم يكن يؤيده». وقال إن السيد شريعتمداري قال مشيرًا إلى التطورات الأخيرة على مستوى البلاد، وما رافقها من أخطاء جزئية: «لقد تسببت تلك الأحداث في إيجاد عوامل لاتِّساع الاعتراضات» وأضاف يقول: «يمكننا أن نسقط الخميني في أنظار الناس ونتجاهله. إنه الآن قابعٌ في العراق، وإن لم يستفزَّه أحد فكل ما سيفعله هو أو أعوانه لن يكون له تأثير واسع». انظر إلى نشرة جهاز الأمن (السافاك) الخاصة في كتاب: </w:t>
      </w:r>
      <w:r w:rsidRPr="008C7124">
        <w:rPr>
          <w:rStyle w:val="Char9"/>
          <w:rFonts w:hint="cs"/>
          <w:sz w:val="20"/>
          <w:szCs w:val="20"/>
          <w:rtl/>
        </w:rPr>
        <w:t>انقلاب اسلامى به روا</w:t>
      </w:r>
      <w:r>
        <w:rPr>
          <w:rStyle w:val="Char9"/>
          <w:rFonts w:hint="cs"/>
          <w:sz w:val="20"/>
          <w:szCs w:val="20"/>
          <w:rtl/>
        </w:rPr>
        <w:t>ی</w:t>
      </w:r>
      <w:r w:rsidRPr="008C7124">
        <w:rPr>
          <w:rStyle w:val="Char9"/>
          <w:rFonts w:hint="cs"/>
          <w:sz w:val="20"/>
          <w:szCs w:val="20"/>
          <w:rtl/>
        </w:rPr>
        <w:t>ت اسناد سافا</w:t>
      </w:r>
      <w:r>
        <w:rPr>
          <w:rStyle w:val="Char9"/>
          <w:rFonts w:hint="cs"/>
          <w:sz w:val="20"/>
          <w:szCs w:val="20"/>
          <w:rtl/>
        </w:rPr>
        <w:t>ک</w:t>
      </w:r>
      <w:r w:rsidRPr="006E28E9">
        <w:rPr>
          <w:rFonts w:hint="cs"/>
          <w:rtl/>
          <w:lang w:bidi="ar-SY"/>
        </w:rPr>
        <w:t xml:space="preserve"> [الثورة الإسلامية طبقًا لتقارير جهاز الأمن والمخابرات السافاك]، ج 2، ص 280 - 282.</w:t>
      </w:r>
    </w:p>
  </w:footnote>
  <w:footnote w:id="131">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6E28E9">
        <w:rPr>
          <w:rStyle w:val="Char9"/>
          <w:rFonts w:hint="cs"/>
          <w:sz w:val="20"/>
          <w:szCs w:val="20"/>
          <w:rtl/>
        </w:rPr>
        <w:t>گوشه‌اى از خاطرات حج</w:t>
      </w:r>
      <w:r>
        <w:rPr>
          <w:rStyle w:val="Char9"/>
          <w:rFonts w:hint="cs"/>
          <w:sz w:val="20"/>
          <w:szCs w:val="20"/>
          <w:rtl/>
        </w:rPr>
        <w:t>ۀ</w:t>
      </w:r>
      <w:r w:rsidRPr="006E28E9">
        <w:rPr>
          <w:rStyle w:val="Char9"/>
          <w:rFonts w:hint="cs"/>
          <w:sz w:val="20"/>
          <w:szCs w:val="20"/>
          <w:rtl/>
        </w:rPr>
        <w:t xml:space="preserve"> الإسلام والمسلم</w:t>
      </w:r>
      <w:r>
        <w:rPr>
          <w:rStyle w:val="Char9"/>
          <w:rFonts w:hint="cs"/>
          <w:sz w:val="20"/>
          <w:szCs w:val="20"/>
          <w:rtl/>
        </w:rPr>
        <w:t>ی</w:t>
      </w:r>
      <w:r w:rsidRPr="006E28E9">
        <w:rPr>
          <w:rStyle w:val="Char9"/>
          <w:rFonts w:hint="cs"/>
          <w:sz w:val="20"/>
          <w:szCs w:val="20"/>
          <w:rtl/>
        </w:rPr>
        <w:t>ن دعا</w:t>
      </w:r>
      <w:r>
        <w:rPr>
          <w:rStyle w:val="Char9"/>
          <w:rFonts w:hint="cs"/>
          <w:sz w:val="20"/>
          <w:szCs w:val="20"/>
          <w:rtl/>
        </w:rPr>
        <w:t>یی</w:t>
      </w:r>
      <w:r w:rsidRPr="006E28E9">
        <w:rPr>
          <w:rFonts w:hint="cs"/>
          <w:sz w:val="20"/>
          <w:szCs w:val="20"/>
          <w:rtl/>
          <w:lang w:bidi="ar-SY"/>
        </w:rPr>
        <w:t xml:space="preserve"> </w:t>
      </w:r>
      <w:r w:rsidRPr="006E28E9">
        <w:rPr>
          <w:rFonts w:hint="cs"/>
          <w:rtl/>
          <w:lang w:bidi="ar-SY"/>
        </w:rPr>
        <w:t>[نبذة من مذكرات حجة الإسلام والمسلمين دعائي]، ص 101.</w:t>
      </w:r>
      <w:r w:rsidRPr="006E28E9">
        <w:rPr>
          <w:rtl/>
          <w:lang w:bidi="ar-SY"/>
        </w:rPr>
        <w:t xml:space="preserve"> </w:t>
      </w:r>
    </w:p>
  </w:footnote>
  <w:footnote w:id="132">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خزعل</w:t>
      </w:r>
      <w:r>
        <w:rPr>
          <w:rStyle w:val="Char9"/>
          <w:rFonts w:hint="cs"/>
          <w:sz w:val="20"/>
          <w:szCs w:val="20"/>
          <w:rtl/>
        </w:rPr>
        <w:t>ی</w:t>
      </w:r>
      <w:r w:rsidRPr="006E28E9">
        <w:rPr>
          <w:rFonts w:hint="cs"/>
          <w:rtl/>
          <w:lang w:bidi="ar-SY"/>
        </w:rPr>
        <w:t xml:space="preserve"> [مذكرات آية الله خزعلي]، ص 119، (بعض ما أوردته في المتن هو رواية لمضون ما جاء في كلامه وليس نقلاً حرفيًّا).</w:t>
      </w:r>
      <w:r w:rsidRPr="006E28E9">
        <w:rPr>
          <w:rtl/>
          <w:lang w:bidi="ar-SY"/>
        </w:rPr>
        <w:t xml:space="preserve"> </w:t>
      </w:r>
    </w:p>
  </w:footnote>
  <w:footnote w:id="133">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w:t>
      </w:r>
      <w:r>
        <w:rPr>
          <w:rStyle w:val="Char9"/>
          <w:rFonts w:hint="cs"/>
          <w:sz w:val="20"/>
          <w:szCs w:val="20"/>
          <w:rtl/>
        </w:rPr>
        <w:t>ی</w:t>
      </w:r>
      <w:r w:rsidRPr="008C7124">
        <w:rPr>
          <w:rStyle w:val="Char9"/>
          <w:rFonts w:hint="cs"/>
          <w:sz w:val="20"/>
          <w:szCs w:val="20"/>
          <w:rtl/>
        </w:rPr>
        <w:t>اد</w:t>
      </w:r>
      <w:r w:rsidRPr="006E28E9">
        <w:rPr>
          <w:rFonts w:hint="cs"/>
          <w:rtl/>
          <w:lang w:bidi="ar-SY"/>
        </w:rPr>
        <w:t>، العدد 28 (خريف 1371هـ.ش/    م)، ص 39-41.</w:t>
      </w:r>
      <w:r w:rsidRPr="006E28E9">
        <w:rPr>
          <w:rtl/>
          <w:lang w:bidi="ar-SY"/>
        </w:rPr>
        <w:t xml:space="preserve"> </w:t>
      </w:r>
    </w:p>
  </w:footnote>
  <w:footnote w:id="134">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خاطرات در</w:t>
      </w:r>
      <w:r>
        <w:rPr>
          <w:rStyle w:val="Char9"/>
          <w:rFonts w:hint="cs"/>
          <w:sz w:val="20"/>
          <w:szCs w:val="20"/>
          <w:rtl/>
        </w:rPr>
        <w:t>ی</w:t>
      </w:r>
      <w:r w:rsidRPr="008C7124">
        <w:rPr>
          <w:rStyle w:val="Char9"/>
          <w:rFonts w:hint="cs"/>
          <w:sz w:val="20"/>
          <w:szCs w:val="20"/>
          <w:rtl/>
        </w:rPr>
        <w:t xml:space="preserve"> نجف آباد</w:t>
      </w:r>
      <w:r>
        <w:rPr>
          <w:rStyle w:val="Char9"/>
          <w:rFonts w:hint="cs"/>
          <w:sz w:val="20"/>
          <w:szCs w:val="20"/>
          <w:rtl/>
        </w:rPr>
        <w:t>ی</w:t>
      </w:r>
      <w:r w:rsidRPr="006E28E9">
        <w:rPr>
          <w:rFonts w:hint="cs"/>
          <w:rtl/>
          <w:lang w:bidi="ar-SY"/>
        </w:rPr>
        <w:t xml:space="preserve"> [مذكرات دري نجف آبادي]، ص 92.</w:t>
      </w:r>
      <w:r w:rsidRPr="006E28E9">
        <w:rPr>
          <w:rtl/>
          <w:lang w:bidi="ar-SY"/>
        </w:rPr>
        <w:t xml:space="preserve"> </w:t>
      </w:r>
    </w:p>
  </w:footnote>
  <w:footnote w:id="135">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ص 43-44.</w:t>
      </w:r>
      <w:r w:rsidRPr="006E28E9">
        <w:rPr>
          <w:rtl/>
          <w:lang w:bidi="ar-SY"/>
        </w:rPr>
        <w:t xml:space="preserve"> </w:t>
      </w:r>
    </w:p>
  </w:footnote>
  <w:footnote w:id="136">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w:t>
      </w:r>
      <w:r>
        <w:rPr>
          <w:rStyle w:val="Char9"/>
          <w:rFonts w:hint="cs"/>
          <w:sz w:val="20"/>
          <w:szCs w:val="20"/>
          <w:rtl/>
        </w:rPr>
        <w:t>ی</w:t>
      </w:r>
      <w:r w:rsidRPr="008C7124">
        <w:rPr>
          <w:rStyle w:val="Char9"/>
          <w:rFonts w:hint="cs"/>
          <w:sz w:val="20"/>
          <w:szCs w:val="20"/>
          <w:rtl/>
        </w:rPr>
        <w:t>اد</w:t>
      </w:r>
      <w:r w:rsidRPr="006E28E9">
        <w:rPr>
          <w:rFonts w:hint="cs"/>
          <w:rtl/>
          <w:lang w:bidi="ar-SY"/>
        </w:rPr>
        <w:t>، العدد 28، ص 43.</w:t>
      </w:r>
    </w:p>
  </w:footnote>
  <w:footnote w:id="137">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w:t>
      </w:r>
      <w:r>
        <w:rPr>
          <w:rStyle w:val="Char9"/>
          <w:rFonts w:hint="cs"/>
          <w:sz w:val="20"/>
          <w:szCs w:val="20"/>
          <w:rtl/>
        </w:rPr>
        <w:t>ی</w:t>
      </w:r>
      <w:r w:rsidRPr="008C7124">
        <w:rPr>
          <w:rStyle w:val="Char9"/>
          <w:rFonts w:hint="cs"/>
          <w:sz w:val="20"/>
          <w:szCs w:val="20"/>
          <w:rtl/>
        </w:rPr>
        <w:t>اد</w:t>
      </w:r>
      <w:r w:rsidRPr="006E28E9">
        <w:rPr>
          <w:rFonts w:hint="cs"/>
          <w:rtl/>
          <w:lang w:bidi="ar-SY"/>
        </w:rPr>
        <w:t>، العدد 28، ص 47-48.</w:t>
      </w:r>
      <w:r w:rsidRPr="006E28E9">
        <w:rPr>
          <w:rtl/>
          <w:lang w:bidi="ar-SY"/>
        </w:rPr>
        <w:t xml:space="preserve"> </w:t>
      </w:r>
    </w:p>
  </w:footnote>
  <w:footnote w:id="138">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علم وجهاد</w:t>
      </w:r>
      <w:r w:rsidRPr="006E28E9">
        <w:rPr>
          <w:rFonts w:hint="cs"/>
          <w:rtl/>
          <w:lang w:bidi="ar-SY"/>
        </w:rPr>
        <w:t>، ج 2، ص 321، تاريخ الرسالة 19 محرم 1384هـ.ق.</w:t>
      </w:r>
      <w:r w:rsidRPr="006E28E9">
        <w:rPr>
          <w:rtl/>
          <w:lang w:bidi="ar-SY"/>
        </w:rPr>
        <w:t xml:space="preserve"> </w:t>
      </w:r>
    </w:p>
  </w:footnote>
  <w:footnote w:id="139">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علم وجهاد</w:t>
      </w:r>
      <w:r w:rsidRPr="006E28E9">
        <w:rPr>
          <w:rFonts w:hint="cs"/>
          <w:rtl/>
          <w:lang w:bidi="ar-SY"/>
        </w:rPr>
        <w:t>، ج2، ص332.</w:t>
      </w:r>
      <w:r w:rsidRPr="006E28E9">
        <w:rPr>
          <w:rtl/>
          <w:lang w:bidi="ar-SY"/>
        </w:rPr>
        <w:t xml:space="preserve"> </w:t>
      </w:r>
    </w:p>
  </w:footnote>
  <w:footnote w:id="140">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انظر: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م</w:t>
      </w:r>
      <w:r>
        <w:rPr>
          <w:rStyle w:val="Char9"/>
          <w:rFonts w:hint="cs"/>
          <w:sz w:val="20"/>
          <w:szCs w:val="20"/>
          <w:rtl/>
        </w:rPr>
        <w:t>ی</w:t>
      </w:r>
      <w:r w:rsidRPr="008C7124">
        <w:rPr>
          <w:rStyle w:val="Char9"/>
          <w:rFonts w:hint="cs"/>
          <w:sz w:val="20"/>
          <w:szCs w:val="20"/>
          <w:rtl/>
        </w:rPr>
        <w:t>لان</w:t>
      </w:r>
      <w:r>
        <w:rPr>
          <w:rStyle w:val="Char9"/>
          <w:rFonts w:hint="cs"/>
          <w:sz w:val="20"/>
          <w:szCs w:val="20"/>
          <w:rtl/>
        </w:rPr>
        <w:t>ی</w:t>
      </w:r>
      <w:r w:rsidRPr="008C7124">
        <w:rPr>
          <w:rStyle w:val="Char9"/>
          <w:rFonts w:hint="cs"/>
          <w:sz w:val="20"/>
          <w:szCs w:val="20"/>
          <w:rtl/>
        </w:rPr>
        <w:t xml:space="preserve">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[آية الله الميلاني وفقًا لرواية وثائق جهاز الأمن والاستخبارات السافاك]، ج 2، ص 196-197.</w:t>
      </w:r>
    </w:p>
  </w:footnote>
  <w:footnote w:id="141">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علم وجهاد</w:t>
      </w:r>
      <w:r w:rsidRPr="006E28E9">
        <w:rPr>
          <w:rFonts w:hint="cs"/>
          <w:rtl/>
          <w:lang w:bidi="ar-SY"/>
        </w:rPr>
        <w:t>، ج 2، ص 44.</w:t>
      </w:r>
    </w:p>
  </w:footnote>
  <w:footnote w:id="142">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نامه‌ها و گفته‌ها</w:t>
      </w:r>
      <w:r w:rsidRPr="006E28E9">
        <w:rPr>
          <w:rFonts w:hint="cs"/>
          <w:rtl/>
          <w:lang w:bidi="ar-SY"/>
        </w:rPr>
        <w:t xml:space="preserve"> [رسائل وأقوال]، ص 38.</w:t>
      </w:r>
    </w:p>
  </w:footnote>
  <w:footnote w:id="143">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ق</w:t>
      </w:r>
      <w:r>
        <w:rPr>
          <w:rStyle w:val="Char9"/>
          <w:rFonts w:hint="cs"/>
          <w:sz w:val="20"/>
          <w:szCs w:val="20"/>
          <w:rtl/>
        </w:rPr>
        <w:t>ی</w:t>
      </w:r>
      <w:r w:rsidRPr="008C7124">
        <w:rPr>
          <w:rStyle w:val="Char9"/>
          <w:rFonts w:hint="cs"/>
          <w:sz w:val="20"/>
          <w:szCs w:val="20"/>
          <w:rtl/>
        </w:rPr>
        <w:t>ام 15 خرداد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[ثورة الخامس عشر من شهر خرداد وفقاً لرواية وثائق جهاز الأمن والمخابرات السافاك]، ج 1، ص 81.</w:t>
      </w:r>
    </w:p>
  </w:footnote>
  <w:footnote w:id="144">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العظمى م</w:t>
      </w:r>
      <w:r>
        <w:rPr>
          <w:rStyle w:val="Char9"/>
          <w:rFonts w:hint="cs"/>
          <w:sz w:val="20"/>
          <w:szCs w:val="20"/>
          <w:rtl/>
        </w:rPr>
        <w:t>ی</w:t>
      </w:r>
      <w:r w:rsidRPr="008C7124">
        <w:rPr>
          <w:rStyle w:val="Char9"/>
          <w:rFonts w:hint="cs"/>
          <w:sz w:val="20"/>
          <w:szCs w:val="20"/>
          <w:rtl/>
        </w:rPr>
        <w:t>لانى به روا</w:t>
      </w:r>
      <w:r>
        <w:rPr>
          <w:rStyle w:val="Char9"/>
          <w:rFonts w:hint="cs"/>
          <w:sz w:val="20"/>
          <w:szCs w:val="20"/>
          <w:rtl/>
        </w:rPr>
        <w:t>ی</w:t>
      </w:r>
      <w:r w:rsidRPr="008C7124">
        <w:rPr>
          <w:rStyle w:val="Char9"/>
          <w:rFonts w:hint="cs"/>
          <w:sz w:val="20"/>
          <w:szCs w:val="20"/>
          <w:rtl/>
        </w:rPr>
        <w:t>ت اسناد</w:t>
      </w:r>
      <w:r w:rsidRPr="006E28E9">
        <w:rPr>
          <w:rFonts w:hint="cs"/>
          <w:rtl/>
          <w:lang w:bidi="ar-SY"/>
        </w:rPr>
        <w:t xml:space="preserve"> [آية الله العظمى الميلاني وفقاً لرواية الوثائق]، ج 2، ص 158.</w:t>
      </w:r>
    </w:p>
  </w:footnote>
  <w:footnote w:id="145">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ج 2، ص 161.</w:t>
      </w:r>
    </w:p>
  </w:footnote>
  <w:footnote w:id="146">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صح</w:t>
      </w:r>
      <w:r>
        <w:rPr>
          <w:rStyle w:val="Char9"/>
          <w:rFonts w:hint="cs"/>
          <w:sz w:val="20"/>
          <w:szCs w:val="20"/>
          <w:rtl/>
        </w:rPr>
        <w:t>ی</w:t>
      </w:r>
      <w:r w:rsidRPr="008C7124">
        <w:rPr>
          <w:rStyle w:val="Char9"/>
          <w:rFonts w:hint="cs"/>
          <w:sz w:val="20"/>
          <w:szCs w:val="20"/>
          <w:rtl/>
        </w:rPr>
        <w:t>ف</w:t>
      </w:r>
      <w:r>
        <w:rPr>
          <w:rStyle w:val="Char9"/>
          <w:rFonts w:hint="cs"/>
          <w:sz w:val="20"/>
          <w:szCs w:val="20"/>
          <w:rtl/>
        </w:rPr>
        <w:t>ۀ</w:t>
      </w:r>
      <w:r w:rsidRPr="008C7124">
        <w:rPr>
          <w:rStyle w:val="Char9"/>
          <w:rFonts w:hint="cs"/>
          <w:sz w:val="20"/>
          <w:szCs w:val="20"/>
          <w:rtl/>
        </w:rPr>
        <w:t xml:space="preserve"> الإمام</w:t>
      </w:r>
      <w:r w:rsidRPr="006E28E9">
        <w:rPr>
          <w:rFonts w:hint="cs"/>
          <w:rtl/>
          <w:lang w:bidi="ar-SY"/>
        </w:rPr>
        <w:t>، ج 1، ص 303.</w:t>
      </w:r>
    </w:p>
  </w:footnote>
  <w:footnote w:id="147">
    <w:p w:rsidR="008C7124" w:rsidRPr="006E28E9" w:rsidRDefault="008C7124" w:rsidP="0092648A">
      <w:pPr>
        <w:pStyle w:val="FootnoteText"/>
        <w:rPr>
          <w:rtl/>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العظمى م</w:t>
      </w:r>
      <w:r>
        <w:rPr>
          <w:rStyle w:val="Char9"/>
          <w:rFonts w:hint="cs"/>
          <w:sz w:val="20"/>
          <w:szCs w:val="20"/>
          <w:rtl/>
        </w:rPr>
        <w:t>ی</w:t>
      </w:r>
      <w:r w:rsidRPr="008C7124">
        <w:rPr>
          <w:rStyle w:val="Char9"/>
          <w:rFonts w:hint="cs"/>
          <w:sz w:val="20"/>
          <w:szCs w:val="20"/>
          <w:rtl/>
        </w:rPr>
        <w:t>لانى به روا</w:t>
      </w:r>
      <w:r>
        <w:rPr>
          <w:rStyle w:val="Char9"/>
          <w:rFonts w:hint="cs"/>
          <w:sz w:val="20"/>
          <w:szCs w:val="20"/>
          <w:rtl/>
        </w:rPr>
        <w:t>ی</w:t>
      </w:r>
      <w:r w:rsidRPr="008C7124">
        <w:rPr>
          <w:rStyle w:val="Char9"/>
          <w:rFonts w:hint="cs"/>
          <w:sz w:val="20"/>
          <w:szCs w:val="20"/>
          <w:rtl/>
        </w:rPr>
        <w:t>ت اسناد</w:t>
      </w:r>
      <w:r w:rsidRPr="006E28E9">
        <w:rPr>
          <w:rFonts w:hint="cs"/>
          <w:rtl/>
          <w:lang w:bidi="ar-SY"/>
        </w:rPr>
        <w:t xml:space="preserve"> [آية الله العظمى الميلاني وفقاً لرواية الوثائق]، ج 2، ص 429.</w:t>
      </w:r>
    </w:p>
  </w:footnote>
  <w:footnote w:id="148">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حول موضوع الاشتباكات التي وقعت بين الطلاب الثوريين وبعض أنصار المرحوم شريعتمداري في مجالس الفاتحة ولاسيما تلك الليلة التي اشتُهِرَت باسم ليلة الضرب ونال فيها السيد كرّوبي صفعة شديدة على وجهه، انظر: مجلة </w:t>
      </w:r>
      <w:r>
        <w:rPr>
          <w:rStyle w:val="Char9"/>
          <w:rFonts w:hint="cs"/>
          <w:sz w:val="20"/>
          <w:szCs w:val="20"/>
          <w:rtl/>
        </w:rPr>
        <w:t>ی</w:t>
      </w:r>
      <w:r w:rsidRPr="008C7124">
        <w:rPr>
          <w:rStyle w:val="Char9"/>
          <w:rFonts w:hint="cs"/>
          <w:sz w:val="20"/>
          <w:szCs w:val="20"/>
          <w:rtl/>
        </w:rPr>
        <w:t>اد</w:t>
      </w:r>
      <w:r w:rsidRPr="006E28E9">
        <w:rPr>
          <w:rFonts w:hint="cs"/>
          <w:rtl/>
          <w:lang w:bidi="ar-SY"/>
        </w:rPr>
        <w:t xml:space="preserve">، العدد 29 (شتاء 1372 هـ.ش)، ص 100 فما بعد. وانظر: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 xml:space="preserve">ت الله محمد </w:t>
      </w:r>
      <w:r>
        <w:rPr>
          <w:rStyle w:val="Char9"/>
          <w:rFonts w:hint="cs"/>
          <w:sz w:val="20"/>
          <w:szCs w:val="20"/>
          <w:rtl/>
        </w:rPr>
        <w:t>ی</w:t>
      </w:r>
      <w:r w:rsidRPr="008C7124">
        <w:rPr>
          <w:rStyle w:val="Char9"/>
          <w:rFonts w:hint="cs"/>
          <w:sz w:val="20"/>
          <w:szCs w:val="20"/>
          <w:rtl/>
        </w:rPr>
        <w:t>زد</w:t>
      </w:r>
      <w:r>
        <w:rPr>
          <w:rStyle w:val="Char9"/>
          <w:rFonts w:hint="cs"/>
          <w:sz w:val="20"/>
          <w:szCs w:val="20"/>
          <w:rtl/>
        </w:rPr>
        <w:t>ی</w:t>
      </w:r>
      <w:r w:rsidRPr="006E28E9">
        <w:rPr>
          <w:rFonts w:hint="cs"/>
          <w:rtl/>
          <w:lang w:bidi="ar-SY"/>
        </w:rPr>
        <w:t>، ص 332 - 333؛ و</w:t>
      </w:r>
      <w:r w:rsidRPr="008C7124">
        <w:rPr>
          <w:rStyle w:val="Char9"/>
          <w:rFonts w:hint="cs"/>
          <w:sz w:val="20"/>
          <w:szCs w:val="20"/>
          <w:rtl/>
        </w:rPr>
        <w:t>خاطرات حجت الاسلام س</w:t>
      </w:r>
      <w:r>
        <w:rPr>
          <w:rStyle w:val="Char9"/>
          <w:rFonts w:hint="cs"/>
          <w:sz w:val="20"/>
          <w:szCs w:val="20"/>
          <w:rtl/>
        </w:rPr>
        <w:t>ی</w:t>
      </w:r>
      <w:r w:rsidRPr="008C7124">
        <w:rPr>
          <w:rStyle w:val="Char9"/>
          <w:rFonts w:hint="cs"/>
          <w:sz w:val="20"/>
          <w:szCs w:val="20"/>
          <w:rtl/>
        </w:rPr>
        <w:t xml:space="preserve">د محسن موسوى فرد </w:t>
      </w:r>
      <w:r>
        <w:rPr>
          <w:rStyle w:val="Char9"/>
          <w:rFonts w:hint="cs"/>
          <w:sz w:val="20"/>
          <w:szCs w:val="20"/>
          <w:rtl/>
        </w:rPr>
        <w:t>ک</w:t>
      </w:r>
      <w:r w:rsidRPr="008C7124">
        <w:rPr>
          <w:rStyle w:val="Char9"/>
          <w:rFonts w:hint="cs"/>
          <w:sz w:val="20"/>
          <w:szCs w:val="20"/>
          <w:rtl/>
        </w:rPr>
        <w:t>اشانى</w:t>
      </w:r>
      <w:r w:rsidRPr="006E28E9">
        <w:rPr>
          <w:rFonts w:hint="cs"/>
          <w:rtl/>
          <w:lang w:bidi="ar-SY"/>
        </w:rPr>
        <w:t>، ص 60 - 61؛ و</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گرام</w:t>
      </w:r>
      <w:r>
        <w:rPr>
          <w:rStyle w:val="Char9"/>
          <w:rFonts w:hint="cs"/>
          <w:sz w:val="20"/>
          <w:szCs w:val="20"/>
          <w:rtl/>
        </w:rPr>
        <w:t>ی</w:t>
      </w:r>
      <w:r w:rsidRPr="006E28E9">
        <w:rPr>
          <w:rFonts w:hint="cs"/>
          <w:rtl/>
          <w:lang w:bidi="ar-SY"/>
        </w:rPr>
        <w:t xml:space="preserve"> [مذكرات آية الله كرامي]، ص 286.</w:t>
      </w:r>
    </w:p>
  </w:footnote>
  <w:footnote w:id="149">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خاطرات حجت الاسلام والمسلم</w:t>
      </w:r>
      <w:r>
        <w:rPr>
          <w:rStyle w:val="Char9"/>
          <w:rFonts w:hint="cs"/>
          <w:sz w:val="20"/>
          <w:szCs w:val="20"/>
          <w:rtl/>
        </w:rPr>
        <w:t>ی</w:t>
      </w:r>
      <w:r w:rsidRPr="008C7124">
        <w:rPr>
          <w:rStyle w:val="Char9"/>
          <w:rFonts w:hint="cs"/>
          <w:sz w:val="20"/>
          <w:szCs w:val="20"/>
          <w:rtl/>
        </w:rPr>
        <w:t>ن جمى</w:t>
      </w:r>
      <w:r w:rsidRPr="006E28E9">
        <w:rPr>
          <w:rFonts w:hint="cs"/>
          <w:rtl/>
          <w:lang w:bidi="ar-SY"/>
        </w:rPr>
        <w:t>، ص 159.</w:t>
      </w:r>
    </w:p>
  </w:footnote>
  <w:footnote w:id="150">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خاطرات جم</w:t>
      </w:r>
      <w:r>
        <w:rPr>
          <w:rStyle w:val="Char9"/>
          <w:rFonts w:hint="cs"/>
          <w:sz w:val="20"/>
          <w:szCs w:val="20"/>
          <w:rtl/>
        </w:rPr>
        <w:t>ی</w:t>
      </w:r>
      <w:r w:rsidRPr="006E28E9">
        <w:rPr>
          <w:rFonts w:hint="cs"/>
          <w:rtl/>
          <w:lang w:bidi="ar-SY"/>
        </w:rPr>
        <w:t>، ص 159.</w:t>
      </w:r>
    </w:p>
  </w:footnote>
  <w:footnote w:id="151">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w:t>
      </w:r>
    </w:p>
  </w:footnote>
  <w:footnote w:id="152">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ص 161.</w:t>
      </w:r>
    </w:p>
  </w:footnote>
  <w:footnote w:id="153">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كنموذج واضح على ذلك انظر: الكلام الذي قاله السيد شجوني بعد استشهاد آية الله سعيدي في إحدى الجلسات الخاصة كما  ورد في كتاب: </w:t>
      </w:r>
      <w:r>
        <w:rPr>
          <w:rStyle w:val="Char9"/>
          <w:rFonts w:hint="cs"/>
          <w:sz w:val="20"/>
          <w:szCs w:val="20"/>
          <w:rtl/>
        </w:rPr>
        <w:t>ی</w:t>
      </w:r>
      <w:r w:rsidRPr="008C7124">
        <w:rPr>
          <w:rStyle w:val="Char9"/>
          <w:rFonts w:hint="cs"/>
          <w:sz w:val="20"/>
          <w:szCs w:val="20"/>
          <w:rtl/>
        </w:rPr>
        <w:t>اران إمام.... قامت استوار</w:t>
      </w:r>
      <w:r w:rsidRPr="006E28E9">
        <w:rPr>
          <w:rFonts w:hint="cs"/>
          <w:rtl/>
          <w:lang w:bidi="ar-SY"/>
        </w:rPr>
        <w:t xml:space="preserve"> [أصحاب الإمام.....القامة الثابتة الصلبة]، ج 2، ص 1 - 2. </w:t>
      </w:r>
      <w:r w:rsidRPr="006E28E9">
        <w:rPr>
          <w:rtl/>
          <w:lang w:bidi="ar-SY"/>
        </w:rPr>
        <w:t xml:space="preserve"> </w:t>
      </w:r>
    </w:p>
  </w:footnote>
  <w:footnote w:id="154">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آيت الله گلپايگاني بروايت اسناد ساواك [آية الله الكلبايكاني وفقًا لرواية وثائق جهاز الأمن والاستخبارات السافاك]، ج 2، ص 247. </w:t>
      </w:r>
      <w:r w:rsidRPr="006E28E9">
        <w:rPr>
          <w:rtl/>
          <w:lang w:bidi="ar-SY"/>
        </w:rPr>
        <w:t xml:space="preserve"> </w:t>
      </w:r>
    </w:p>
  </w:footnote>
  <w:footnote w:id="155">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ج 2، ص 259.</w:t>
      </w:r>
      <w:r w:rsidRPr="006E28E9">
        <w:rPr>
          <w:rtl/>
          <w:lang w:bidi="ar-SY"/>
        </w:rPr>
        <w:t xml:space="preserve"> </w:t>
      </w:r>
    </w:p>
  </w:footnote>
  <w:footnote w:id="156">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ج 2، ص 285.</w:t>
      </w:r>
    </w:p>
  </w:footnote>
  <w:footnote w:id="157">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xml:space="preserve">، ج 2، ص 320؛ و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مرعشى نجفى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[آية الله مرعشي النجفي وفقاً لرواية وثائق جهاز الأمن السافاك]، ج 2، ص 459.</w:t>
      </w:r>
    </w:p>
  </w:footnote>
  <w:footnote w:id="158">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المصدر نفسه</w:t>
      </w:r>
      <w:r w:rsidRPr="006E28E9">
        <w:rPr>
          <w:rFonts w:hint="cs"/>
          <w:rtl/>
          <w:lang w:bidi="ar-SY"/>
        </w:rPr>
        <w:t>، ج 2، ص 327.</w:t>
      </w:r>
    </w:p>
  </w:footnote>
  <w:footnote w:id="159">
    <w:p w:rsidR="008C7124" w:rsidRPr="006E28E9" w:rsidRDefault="008C7124" w:rsidP="0092648A">
      <w:pPr>
        <w:pStyle w:val="FootnoteText"/>
        <w:rPr>
          <w:rtl/>
          <w:lang w:bidi="ar-SY"/>
        </w:rPr>
      </w:pPr>
      <w:r w:rsidRPr="006E28E9">
        <w:rPr>
          <w:rFonts w:ascii="Arabic11 BT" w:hAnsi="Arabic11 BT" w:cs="Arabic11 BT"/>
          <w:lang w:bidi="ar-SY"/>
        </w:rPr>
        <w:footnoteRef/>
      </w:r>
      <w:r w:rsidRPr="006E28E9">
        <w:rPr>
          <w:rFonts w:hint="cs"/>
          <w:rtl/>
          <w:lang w:bidi="ar-SY"/>
        </w:rPr>
        <w:t xml:space="preserve">. كان السيد عبد الرسول قائمي من الوجوه الدينية البارزة جدًّا في عبادان، وكان له دور مهم في إحياء المسائل الدينية والمذهبية في عبادان منذ زمن المرحوم آية الله السيد أبي الحسن الأصفهاني وحتى زمن الإمام. ونتيجة لمساعيه جاء كثير من خطباء المنابر من قم وأصفهان إلى عبادان وحافظوا على تلك المدينة التي كان قد انتشر فيها الفساد والتحلل الأخلاقي. ورد في كتاب «خاطرات حجت الإسلام جمى [أي مذكرات حجة الإسلام جمي] (صص 90 - 93) معلومات وبيان لنشاطاته». كانت مدينة عبادان تتمتع بأهمية خاصة، بسبب موقعها الحدودي الذي يساعد على تنقل الثوار [وهروبهم] إلى العراق، وكان السيد قائمي نشيط جدًّا في هذا الصدد وكان يقوم بأعماله بذكاء خاص. ضمَّت الشخصيات التي كانت تلقي المواعظ من منابر مساجد عبادان عديدًا من المناضلين الذين أصبحوا فيما بعد من شخصيات الثورة البارزين أو من نخبة الأفراد المتميزين من الناحية الفكرية والثقافية في البلاد. ومنهم الشهيد [محمد جواد] باهُنَر، هاشمي رفسنجاني، جعفر السبحاني، مكارم الشيرازي، الخزعلي، نوري الهمداني، دواني، الشهيد محمد مُفَتِّح، حجةالإسلام مروي، الشهيد السيد محمد رضا سعيدي، هادي الغفاري وكثيرون آخرون ورد اسمهم بمناسبات مختلفة في مذكرات حجة الإسلام والمسلمين جمي (ص 112 - 113). وحول الخطب المنبرية لهاشمي رفسنجاني تحديداً انظر: </w:t>
      </w:r>
      <w:r w:rsidRPr="008C7124">
        <w:rPr>
          <w:rStyle w:val="Char9"/>
          <w:rFonts w:hint="cs"/>
          <w:sz w:val="20"/>
          <w:szCs w:val="20"/>
          <w:rtl/>
        </w:rPr>
        <w:t>المصدر نفسه</w:t>
      </w:r>
      <w:r w:rsidRPr="006E28E9">
        <w:rPr>
          <w:rFonts w:hint="cs"/>
          <w:rtl/>
          <w:lang w:bidi="ar-SY"/>
        </w:rPr>
        <w:t xml:space="preserve">، ص 115 - 117. وحول ما شرح السيد دعائي لنشاطات السيد قائمي وكيف ساعده على الخروج من إيران عن طريق حدود عبادان لكونه من علماء الدين الثوريين [الملاحقين من رجال أمن الشاه] انظر: </w:t>
      </w:r>
      <w:r w:rsidRPr="008C7124">
        <w:rPr>
          <w:rStyle w:val="Char9"/>
          <w:rFonts w:hint="cs"/>
          <w:sz w:val="20"/>
          <w:szCs w:val="20"/>
          <w:rtl/>
        </w:rPr>
        <w:t>خاطرات آقاى دعائى</w:t>
      </w:r>
      <w:r w:rsidRPr="006E28E9">
        <w:rPr>
          <w:rFonts w:hint="cs"/>
          <w:rtl/>
          <w:lang w:bidi="ar-SY"/>
        </w:rPr>
        <w:t xml:space="preserve"> [مذكرات السيد دعائي]، ص 72 - 75. وانظر أيضاً: </w:t>
      </w:r>
      <w:r w:rsidRPr="008C7124">
        <w:rPr>
          <w:rStyle w:val="Char9"/>
          <w:rFonts w:hint="cs"/>
          <w:sz w:val="20"/>
          <w:szCs w:val="20"/>
          <w:rtl/>
        </w:rPr>
        <w:t>گنج</w:t>
      </w:r>
      <w:r>
        <w:rPr>
          <w:rStyle w:val="Char9"/>
          <w:rFonts w:hint="cs"/>
          <w:sz w:val="20"/>
          <w:szCs w:val="20"/>
          <w:rtl/>
        </w:rPr>
        <w:t>ی</w:t>
      </w:r>
      <w:r w:rsidRPr="008C7124">
        <w:rPr>
          <w:rStyle w:val="Char9"/>
          <w:rFonts w:hint="cs"/>
          <w:sz w:val="20"/>
          <w:szCs w:val="20"/>
          <w:rtl/>
        </w:rPr>
        <w:t>نه دانشمندان</w:t>
      </w:r>
      <w:r w:rsidRPr="006E28E9">
        <w:rPr>
          <w:rFonts w:hint="cs"/>
          <w:rtl/>
          <w:lang w:bidi="ar-SY"/>
        </w:rPr>
        <w:t xml:space="preserve"> [كنز العلماء]، ج 3، ص 16 - 20؛ و </w:t>
      </w:r>
      <w:r w:rsidRPr="008C7124">
        <w:rPr>
          <w:rStyle w:val="Char9"/>
          <w:rFonts w:hint="cs"/>
          <w:sz w:val="20"/>
          <w:szCs w:val="20"/>
          <w:rtl/>
        </w:rPr>
        <w:t>آ</w:t>
      </w:r>
      <w:r>
        <w:rPr>
          <w:rStyle w:val="Char9"/>
          <w:rFonts w:hint="cs"/>
          <w:sz w:val="20"/>
          <w:szCs w:val="20"/>
          <w:rtl/>
        </w:rPr>
        <w:t>یۀ</w:t>
      </w:r>
      <w:r w:rsidRPr="008C7124">
        <w:rPr>
          <w:rStyle w:val="Char9"/>
          <w:rFonts w:hint="cs"/>
          <w:sz w:val="20"/>
          <w:szCs w:val="20"/>
          <w:rtl/>
        </w:rPr>
        <w:t xml:space="preserve"> الله مرعش</w:t>
      </w:r>
      <w:r>
        <w:rPr>
          <w:rStyle w:val="Char9"/>
          <w:rFonts w:hint="cs"/>
          <w:sz w:val="20"/>
          <w:szCs w:val="20"/>
          <w:rtl/>
        </w:rPr>
        <w:t>ی</w:t>
      </w:r>
      <w:r w:rsidRPr="008C7124">
        <w:rPr>
          <w:rStyle w:val="Char9"/>
          <w:rFonts w:hint="cs"/>
          <w:sz w:val="20"/>
          <w:szCs w:val="20"/>
          <w:rtl/>
        </w:rPr>
        <w:t xml:space="preserve">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[آية الله المرعشي وفقًا لتقارير وثائق جهاز الأمن والاستخبارات السافاك]، ج 2، ص 158 - 159.</w:t>
      </w:r>
    </w:p>
  </w:footnote>
  <w:footnote w:id="160">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آيت الله گلپايگانى به روايت اسناد ساواك [آية الله الكلبايكاني وفقًا لرواية وثائق جهاز السافاك]، ج 2، ص 578.</w:t>
      </w:r>
    </w:p>
  </w:footnote>
  <w:footnote w:id="161">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آيت الله گلپايگانى به روايت اسناد ساواك [آية الله الكلبايكاني وفقًا لرواية وثائق جهاز السافاك]، ج 2، ص 595. ذهب السيد حائري إلى السيد كلبايكاني ليتحدث معه بشأن الاختلافات بين الكلبايكاني وشريعتمداري، وتنقل لنا الصفحات 656 - 659 من المصدر المذكور نفسه بيانًا للحوارات التي جرت بينهما. كان قلق السيد كلبايكاني الرئيسي سببه عدم اتِّخاذ السيد شريعتمداري موقفًا صلبًا تجاه مسألة إنشاء دار للسينما في قم. </w:t>
      </w:r>
      <w:r w:rsidRPr="006E28E9">
        <w:rPr>
          <w:rFonts w:hint="cs"/>
          <w:b/>
          <w:bCs/>
          <w:rtl/>
          <w:lang w:bidi="ar-SY"/>
        </w:rPr>
        <w:t>المصدر نفسه</w:t>
      </w:r>
      <w:r w:rsidRPr="006E28E9">
        <w:rPr>
          <w:rFonts w:hint="cs"/>
          <w:rtl/>
          <w:lang w:bidi="ar-SY"/>
        </w:rPr>
        <w:t>، ص 660 - 664 (طَلَبَ طُلاب العلوم الدينية المؤيدين لشريعتمداري والتابعين له من الشيخ غلام رضا الزنجاني أن يعطيهم الإذن بضرب السيد مهدي [الكلبايكاني] لكن الزنجاني لم يعطهم الإذن بذلك).</w:t>
      </w:r>
    </w:p>
  </w:footnote>
  <w:footnote w:id="162">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 xml:space="preserve">خاطرات حجت الاسلام موسوى فرد </w:t>
      </w:r>
      <w:r>
        <w:rPr>
          <w:rStyle w:val="Char9"/>
          <w:rFonts w:hint="cs"/>
          <w:sz w:val="20"/>
          <w:szCs w:val="20"/>
          <w:rtl/>
        </w:rPr>
        <w:t>ک</w:t>
      </w:r>
      <w:r w:rsidRPr="008C7124">
        <w:rPr>
          <w:rStyle w:val="Char9"/>
          <w:rFonts w:hint="cs"/>
          <w:sz w:val="20"/>
          <w:szCs w:val="20"/>
          <w:rtl/>
        </w:rPr>
        <w:t>اشانى</w:t>
      </w:r>
      <w:r w:rsidRPr="006E28E9">
        <w:rPr>
          <w:rFonts w:hint="cs"/>
          <w:rtl/>
          <w:lang w:bidi="ar-SY"/>
        </w:rPr>
        <w:t>، ص 66.</w:t>
      </w:r>
    </w:p>
  </w:footnote>
  <w:footnote w:id="163">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كان أول الطلاب الأجانب الذين جاؤوا إلى الدار - هذا بالطبع باستثناء الطلاب الأفغان والباكستانيين والهنود والعرب - اثني عشر طالبًا تنزانيًّا. وكان السيد وحيد أختر هو الذي بعث بهم إلى إيران. وثم بدأ يأتي بعدهم إلى هذه الدار طلابٌ من بلدان أخرى أيضًا.</w:t>
      </w:r>
    </w:p>
  </w:footnote>
  <w:footnote w:id="164">
    <w:p w:rsidR="008C7124" w:rsidRPr="006E28E9" w:rsidRDefault="008C7124" w:rsidP="0092648A">
      <w:pPr>
        <w:pStyle w:val="FootnoteText"/>
        <w:rPr>
          <w:rtl/>
          <w:lang w:bidi="ar-SY"/>
        </w:rPr>
      </w:pPr>
      <w:r w:rsidRPr="006E28E9">
        <w:rPr>
          <w:rFonts w:ascii="Arabic11 BT" w:hAnsi="Arabic11 BT" w:cs="Arabic11 BT"/>
          <w:lang w:bidi="ar-SY"/>
        </w:rPr>
        <w:footnoteRef/>
      </w:r>
      <w:r w:rsidRPr="006E28E9">
        <w:rPr>
          <w:rFonts w:hint="cs"/>
          <w:rtl/>
          <w:lang w:bidi="ar-SY"/>
        </w:rPr>
        <w:t xml:space="preserve">. أُسِّسَت مدرسة لأول مرة باسم دار الزهراء وكان السيد شريعتمداري هو الذي يدفع ميزانيتها؛ هذا رغم أنها لم تكن من الناحية التنظيمية مرتبطة بدار التبليغ، وقد تحدث جهاز الأمن السافاك في شهر دي من سنة 1356 هـ.ش [1977م] عن ثلاث مدارس دينية للبنات. إحداها مدرسة العلوم الدينية للبنات التابعة لآية الله الكلبايكاني، والثانية دار الزهراء التابعة لآية الله شريعتمداري والثالثة مكتب التوحيد التابع لوكيل الإمام الخميني وممثله. انظر: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[آية الله الكلبايكاني وفقًا لرواية وثائق جهاز السافاك]، ج 3، ص 512.</w:t>
      </w:r>
    </w:p>
  </w:footnote>
  <w:footnote w:id="165">
    <w:p w:rsidR="008C7124" w:rsidRPr="006E28E9" w:rsidRDefault="008C7124" w:rsidP="00E4364C">
      <w:pPr>
        <w:pStyle w:val="FootnoteText"/>
        <w:widowControl w:val="0"/>
        <w:rPr>
          <w:lang w:bidi="ar-SY"/>
        </w:rPr>
      </w:pPr>
      <w:r w:rsidRPr="006E28E9">
        <w:rPr>
          <w:rFonts w:ascii="Arabic11 BT" w:hAnsi="Arabic11 BT" w:cs="Arabic11 BT"/>
          <w:lang w:bidi="ar-SY"/>
        </w:rPr>
        <w:footnoteRef/>
      </w:r>
      <w:r w:rsidRPr="006E28E9">
        <w:rPr>
          <w:rFonts w:hint="cs"/>
          <w:rtl/>
          <w:lang w:bidi="ar-SY"/>
        </w:rPr>
        <w:t xml:space="preserve">. انظر إلى تقرير جهاز الأمن السافاك حول مراسم افتتاح مكتبة دار التبليغ كما في: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8C7124">
        <w:rPr>
          <w:rStyle w:val="Char9"/>
          <w:rFonts w:hint="cs"/>
          <w:sz w:val="20"/>
          <w:szCs w:val="20"/>
          <w:rtl/>
        </w:rPr>
        <w:t xml:space="preserve"> </w:t>
      </w:r>
      <w:r w:rsidRPr="006E28E9">
        <w:rPr>
          <w:rFonts w:hint="cs"/>
          <w:rtl/>
          <w:lang w:bidi="ar-SY"/>
        </w:rPr>
        <w:t>[آية الله الكلبايكاني وفقًا لرواية وثائق جهاز السافاك]، ج 2، ص 224 - 225.</w:t>
      </w:r>
    </w:p>
  </w:footnote>
  <w:footnote w:id="166">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نقد عمر</w:t>
      </w:r>
      <w:r w:rsidRPr="006E28E9">
        <w:rPr>
          <w:rFonts w:hint="cs"/>
          <w:rtl/>
          <w:lang w:bidi="ar-SY"/>
        </w:rPr>
        <w:t>، ص 462.</w:t>
      </w:r>
      <w:r w:rsidRPr="006E28E9">
        <w:rPr>
          <w:rtl/>
          <w:lang w:bidi="ar-SY"/>
        </w:rPr>
        <w:t xml:space="preserve"> </w:t>
      </w:r>
    </w:p>
  </w:footnote>
  <w:footnote w:id="167">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كان بعض كُتَّاب مجلة الهادي هم: السيد أبو الفضل مير محمدي، العلامة [محمد حسين] الطباطبائي، السيد هادي خسروشاهي، الأستاذ مرتضى مطهري، السيد رضا الصدر، السيد حسن الأمين، الشيخ محمد مهدي شمس الدين، الشيخ محمد علي التسخيري، السيد جعفر مرتضى العاملي...و...(كتب هؤلاء الأشخاص مقالات في العدد الثالث من السنة الثالثة من مجلة الهادي (رجب 1394هـ.ق). كما كانت دار التبليغ تنشر بعض مؤلفات الأستاذ مرتضى مطهري، وكان الأخير يتعرض أحيانًا إلى بعض الانتقادات [لهذا السبب]. انظر: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 xml:space="preserve">ت الله محمد </w:t>
      </w:r>
      <w:r>
        <w:rPr>
          <w:rStyle w:val="Char9"/>
          <w:rFonts w:hint="cs"/>
          <w:sz w:val="20"/>
          <w:szCs w:val="20"/>
          <w:rtl/>
        </w:rPr>
        <w:t>ی</w:t>
      </w:r>
      <w:r w:rsidRPr="008C7124">
        <w:rPr>
          <w:rStyle w:val="Char9"/>
          <w:rFonts w:hint="cs"/>
          <w:sz w:val="20"/>
          <w:szCs w:val="20"/>
          <w:rtl/>
        </w:rPr>
        <w:t>زدى</w:t>
      </w:r>
      <w:r w:rsidRPr="006E28E9">
        <w:rPr>
          <w:rFonts w:hint="cs"/>
          <w:rtl/>
          <w:lang w:bidi="ar-SY"/>
        </w:rPr>
        <w:t xml:space="preserve"> [مذكرات آية الله محمد اليزدي]، ص 183. </w:t>
      </w:r>
      <w:r w:rsidRPr="006E28E9">
        <w:rPr>
          <w:rtl/>
          <w:lang w:bidi="ar-SY"/>
        </w:rPr>
        <w:t xml:space="preserve"> </w:t>
      </w:r>
    </w:p>
  </w:footnote>
  <w:footnote w:id="168">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روى ذلك السيد محمد تقي أنصاريان - مسؤول دار نشر أنصاريان في قم- الذي كان واسطة تلك الحوارات والذي قام بدعوة الأستاذ مطهري لإلقاء محاضرات في دار التبليغ. وفي إحدى المرات ذهب السيد مطهري إلى قم أيضًا كي يطلب من المرحوم شريعتمداري أن يقوم بعمل ما لتحرير هاشمي رفسنجاني من السجن. انظر: تقرير السافاك في: </w:t>
      </w:r>
      <w:r w:rsidRPr="008C7124">
        <w:rPr>
          <w:rStyle w:val="Char9"/>
          <w:rFonts w:hint="cs"/>
          <w:sz w:val="20"/>
          <w:szCs w:val="20"/>
          <w:rtl/>
        </w:rPr>
        <w:t>استاد شه</w:t>
      </w:r>
      <w:r>
        <w:rPr>
          <w:rStyle w:val="Char9"/>
          <w:rFonts w:hint="cs"/>
          <w:sz w:val="20"/>
          <w:szCs w:val="20"/>
          <w:rtl/>
        </w:rPr>
        <w:t>ی</w:t>
      </w:r>
      <w:r w:rsidRPr="008C7124">
        <w:rPr>
          <w:rStyle w:val="Char9"/>
          <w:rFonts w:hint="cs"/>
          <w:sz w:val="20"/>
          <w:szCs w:val="20"/>
          <w:rtl/>
        </w:rPr>
        <w:t>د به روا</w:t>
      </w:r>
      <w:r>
        <w:rPr>
          <w:rStyle w:val="Char9"/>
          <w:rFonts w:hint="cs"/>
          <w:sz w:val="20"/>
          <w:szCs w:val="20"/>
          <w:rtl/>
        </w:rPr>
        <w:t>ی</w:t>
      </w:r>
      <w:r w:rsidRPr="008C7124">
        <w:rPr>
          <w:rStyle w:val="Char9"/>
          <w:rFonts w:hint="cs"/>
          <w:sz w:val="20"/>
          <w:szCs w:val="20"/>
          <w:rtl/>
        </w:rPr>
        <w:t>ت اسناد</w:t>
      </w:r>
      <w:r w:rsidRPr="006E28E9">
        <w:rPr>
          <w:rFonts w:hint="cs"/>
          <w:rtl/>
          <w:lang w:bidi="ar-SY"/>
        </w:rPr>
        <w:t xml:space="preserve"> [الأستاذ الشهيد وفقًا لرواية الوثائق]، ص 186 - 187. (بعد السيد مطهري، تابع دروس عصر يوم الجمعة في دار التبليغ: السيد شبستري والشيخ زين العابدين قرباني، في جلسة أو جلستين، وقيل إن جهاز الأمن (السافاك) قام بمنع وتوقيف هذه الدروس نظرًا إلى حِدَّة السيد قرباني في محاضرته التي ألقاها. (وفقًا لما قاله السيد قاسم جوادي). حول محاضرة الأستاذ مطهري في دار التبليغ انظر: </w:t>
      </w:r>
      <w:r w:rsidRPr="008C7124">
        <w:rPr>
          <w:rStyle w:val="Char9"/>
          <w:rFonts w:hint="cs"/>
          <w:sz w:val="20"/>
          <w:szCs w:val="20"/>
          <w:rtl/>
        </w:rPr>
        <w:t>خاطرات در</w:t>
      </w:r>
      <w:r>
        <w:rPr>
          <w:rStyle w:val="Char9"/>
          <w:rFonts w:hint="cs"/>
          <w:sz w:val="20"/>
          <w:szCs w:val="20"/>
          <w:rtl/>
        </w:rPr>
        <w:t>ی</w:t>
      </w:r>
      <w:r w:rsidRPr="008C7124">
        <w:rPr>
          <w:rStyle w:val="Char9"/>
          <w:rFonts w:hint="cs"/>
          <w:sz w:val="20"/>
          <w:szCs w:val="20"/>
          <w:rtl/>
        </w:rPr>
        <w:t xml:space="preserve"> نجف آباد</w:t>
      </w:r>
      <w:r>
        <w:rPr>
          <w:rStyle w:val="Char9"/>
          <w:rFonts w:hint="cs"/>
          <w:sz w:val="20"/>
          <w:szCs w:val="20"/>
          <w:rtl/>
        </w:rPr>
        <w:t>ی</w:t>
      </w:r>
      <w:r w:rsidRPr="006E28E9">
        <w:rPr>
          <w:rFonts w:hint="cs"/>
          <w:rtl/>
          <w:lang w:bidi="ar-SY"/>
        </w:rPr>
        <w:t xml:space="preserve">، ص 138.      </w:t>
      </w:r>
      <w:r w:rsidRPr="006E28E9">
        <w:rPr>
          <w:rtl/>
          <w:lang w:bidi="ar-SY"/>
        </w:rPr>
        <w:t xml:space="preserve"> </w:t>
      </w:r>
    </w:p>
  </w:footnote>
  <w:footnote w:id="169">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حول تفاصيل خبر زيارة الشيخ الفحام لمدينة قم انظر: </w:t>
      </w:r>
      <w:r w:rsidRPr="008C7124">
        <w:rPr>
          <w:rStyle w:val="Char9"/>
          <w:rFonts w:hint="cs"/>
          <w:sz w:val="20"/>
          <w:szCs w:val="20"/>
          <w:rtl/>
        </w:rPr>
        <w:t>قص</w:t>
      </w:r>
      <w:r>
        <w:rPr>
          <w:rStyle w:val="Char9"/>
          <w:rFonts w:hint="cs"/>
          <w:sz w:val="20"/>
          <w:szCs w:val="20"/>
          <w:rtl/>
        </w:rPr>
        <w:t>ۀ</w:t>
      </w:r>
      <w:r w:rsidRPr="008C7124">
        <w:rPr>
          <w:rStyle w:val="Char9"/>
          <w:rFonts w:hint="cs"/>
          <w:sz w:val="20"/>
          <w:szCs w:val="20"/>
          <w:rtl/>
        </w:rPr>
        <w:t xml:space="preserve"> التقر</w:t>
      </w:r>
      <w:r>
        <w:rPr>
          <w:rStyle w:val="Char9"/>
          <w:rFonts w:hint="cs"/>
          <w:sz w:val="20"/>
          <w:szCs w:val="20"/>
          <w:rtl/>
        </w:rPr>
        <w:t>ی</w:t>
      </w:r>
      <w:r w:rsidRPr="008C7124">
        <w:rPr>
          <w:rStyle w:val="Char9"/>
          <w:rFonts w:hint="cs"/>
          <w:sz w:val="20"/>
          <w:szCs w:val="20"/>
          <w:rtl/>
        </w:rPr>
        <w:t>ب</w:t>
      </w:r>
      <w:r w:rsidRPr="006E28E9">
        <w:rPr>
          <w:rFonts w:hint="cs"/>
          <w:rtl/>
          <w:lang w:bidi="ar-SY"/>
        </w:rPr>
        <w:t xml:space="preserve">، صص 372 - 397.  </w:t>
      </w:r>
      <w:r w:rsidRPr="006E28E9">
        <w:rPr>
          <w:rtl/>
          <w:lang w:bidi="ar-SY"/>
        </w:rPr>
        <w:t xml:space="preserve"> </w:t>
      </w:r>
    </w:p>
  </w:footnote>
  <w:footnote w:id="170">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8C7124">
        <w:rPr>
          <w:rStyle w:val="Char9"/>
          <w:rFonts w:hint="cs"/>
          <w:sz w:val="20"/>
          <w:szCs w:val="20"/>
          <w:rtl/>
        </w:rPr>
        <w:t>استاد شه</w:t>
      </w:r>
      <w:r>
        <w:rPr>
          <w:rStyle w:val="Char9"/>
          <w:rFonts w:hint="cs"/>
          <w:sz w:val="20"/>
          <w:szCs w:val="20"/>
          <w:rtl/>
        </w:rPr>
        <w:t>ی</w:t>
      </w:r>
      <w:r w:rsidRPr="008C7124">
        <w:rPr>
          <w:rStyle w:val="Char9"/>
          <w:rFonts w:hint="cs"/>
          <w:sz w:val="20"/>
          <w:szCs w:val="20"/>
          <w:rtl/>
        </w:rPr>
        <w:t>د به روا</w:t>
      </w:r>
      <w:r>
        <w:rPr>
          <w:rStyle w:val="Char9"/>
          <w:rFonts w:hint="cs"/>
          <w:sz w:val="20"/>
          <w:szCs w:val="20"/>
          <w:rtl/>
        </w:rPr>
        <w:t>ی</w:t>
      </w:r>
      <w:r w:rsidRPr="008C7124">
        <w:rPr>
          <w:rStyle w:val="Char9"/>
          <w:rFonts w:hint="cs"/>
          <w:sz w:val="20"/>
          <w:szCs w:val="20"/>
          <w:rtl/>
        </w:rPr>
        <w:t>ت اسناد</w:t>
      </w:r>
      <w:r w:rsidRPr="006E28E9">
        <w:rPr>
          <w:rFonts w:hint="cs"/>
          <w:rtl/>
          <w:lang w:bidi="ar-SY"/>
        </w:rPr>
        <w:t xml:space="preserve"> [الأستاذ الشهيد وفقًا لرواية الوثائق]، ص 140؛ وانظر أيضا: </w:t>
      </w:r>
      <w:r>
        <w:rPr>
          <w:rStyle w:val="Char9"/>
          <w:rFonts w:hint="cs"/>
          <w:sz w:val="20"/>
          <w:szCs w:val="20"/>
          <w:rtl/>
        </w:rPr>
        <w:t>ی</w:t>
      </w:r>
      <w:r w:rsidRPr="008C7124">
        <w:rPr>
          <w:rStyle w:val="Char9"/>
          <w:rFonts w:hint="cs"/>
          <w:sz w:val="20"/>
          <w:szCs w:val="20"/>
          <w:rtl/>
        </w:rPr>
        <w:t>اران إمام.... قامت استوار</w:t>
      </w:r>
      <w:r w:rsidRPr="006E28E9">
        <w:rPr>
          <w:rFonts w:hint="cs"/>
          <w:rtl/>
          <w:lang w:bidi="ar-SY"/>
        </w:rPr>
        <w:t xml:space="preserve"> [أصحاب الإمام.....القامة الثابتة الصلبة]، ج 1 ص 527.  </w:t>
      </w:r>
      <w:r w:rsidRPr="006E28E9">
        <w:rPr>
          <w:rtl/>
          <w:lang w:bidi="ar-SY"/>
        </w:rPr>
        <w:t xml:space="preserve"> </w:t>
      </w:r>
    </w:p>
  </w:footnote>
  <w:footnote w:id="171">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xml:space="preserve">. </w:t>
      </w:r>
      <w:r w:rsidRPr="006E28E9">
        <w:rPr>
          <w:rtl/>
          <w:lang w:bidi="ar-SY"/>
        </w:rPr>
        <w:t xml:space="preserve"> </w:t>
      </w:r>
      <w:r w:rsidRPr="008C7124">
        <w:rPr>
          <w:rStyle w:val="Char9"/>
          <w:rFonts w:hint="cs"/>
          <w:sz w:val="20"/>
          <w:szCs w:val="20"/>
          <w:rtl/>
        </w:rPr>
        <w:t>استاد شه</w:t>
      </w:r>
      <w:r>
        <w:rPr>
          <w:rStyle w:val="Char9"/>
          <w:rFonts w:hint="cs"/>
          <w:sz w:val="20"/>
          <w:szCs w:val="20"/>
          <w:rtl/>
        </w:rPr>
        <w:t>ی</w:t>
      </w:r>
      <w:r w:rsidRPr="008C7124">
        <w:rPr>
          <w:rStyle w:val="Char9"/>
          <w:rFonts w:hint="cs"/>
          <w:sz w:val="20"/>
          <w:szCs w:val="20"/>
          <w:rtl/>
        </w:rPr>
        <w:t>د به روا</w:t>
      </w:r>
      <w:r>
        <w:rPr>
          <w:rStyle w:val="Char9"/>
          <w:rFonts w:hint="cs"/>
          <w:sz w:val="20"/>
          <w:szCs w:val="20"/>
          <w:rtl/>
        </w:rPr>
        <w:t>ی</w:t>
      </w:r>
      <w:r w:rsidRPr="008C7124">
        <w:rPr>
          <w:rStyle w:val="Char9"/>
          <w:rFonts w:hint="cs"/>
          <w:sz w:val="20"/>
          <w:szCs w:val="20"/>
          <w:rtl/>
        </w:rPr>
        <w:t>ت اسناد</w:t>
      </w:r>
      <w:r w:rsidRPr="006E28E9">
        <w:rPr>
          <w:rFonts w:hint="cs"/>
          <w:rtl/>
          <w:lang w:bidi="ar-SY"/>
        </w:rPr>
        <w:t xml:space="preserve"> [الأستاذ الشهيد وفقًا لرواية الوثائق]، ص 200. كان الشيخ جواد مناقبي صهر العلامة الطباطبائي، ولكنه كان متهمًا بالتعاون مع حكومة الشاه وقام الثوريون في  إحدى المرات بحرق سيارته، انظر: </w:t>
      </w:r>
      <w:r w:rsidRPr="008C7124">
        <w:rPr>
          <w:rStyle w:val="Char9"/>
          <w:rFonts w:hint="cs"/>
          <w:sz w:val="20"/>
          <w:szCs w:val="20"/>
          <w:rtl/>
        </w:rPr>
        <w:t>خاطرات عزت شاه</w:t>
      </w:r>
      <w:r>
        <w:rPr>
          <w:rStyle w:val="Char9"/>
          <w:rFonts w:hint="cs"/>
          <w:sz w:val="20"/>
          <w:szCs w:val="20"/>
          <w:rtl/>
        </w:rPr>
        <w:t>ی</w:t>
      </w:r>
      <w:r w:rsidRPr="006E28E9">
        <w:rPr>
          <w:rFonts w:hint="cs"/>
          <w:rtl/>
          <w:lang w:bidi="ar-SY"/>
        </w:rPr>
        <w:t xml:space="preserve"> [مذكرات السيد عزت شاهي]، ص 138 - 139.</w:t>
      </w:r>
    </w:p>
  </w:footnote>
  <w:footnote w:id="172">
    <w:p w:rsidR="008C7124" w:rsidRPr="006E28E9" w:rsidRDefault="008C7124" w:rsidP="0092648A">
      <w:pPr>
        <w:pStyle w:val="FootnoteText"/>
        <w:rPr>
          <w:rtl/>
          <w:lang w:bidi="ar-SY"/>
        </w:rPr>
      </w:pPr>
      <w:r w:rsidRPr="006E28E9">
        <w:rPr>
          <w:rFonts w:ascii="Arabic11 BT" w:hAnsi="Arabic11 BT" w:cs="Arabic11 BT"/>
          <w:lang w:bidi="ar-SY"/>
        </w:rPr>
        <w:footnoteRef/>
      </w:r>
      <w:r w:rsidRPr="006E28E9">
        <w:rPr>
          <w:rFonts w:hint="cs"/>
          <w:rtl/>
          <w:lang w:bidi="ar-SY"/>
        </w:rPr>
        <w:t xml:space="preserve">. كتاب: </w:t>
      </w:r>
      <w:r w:rsidRPr="008C7124">
        <w:rPr>
          <w:rStyle w:val="Char9"/>
          <w:rFonts w:hint="cs"/>
          <w:sz w:val="20"/>
          <w:szCs w:val="20"/>
          <w:rtl/>
        </w:rPr>
        <w:t>آشنائ</w:t>
      </w:r>
      <w:r>
        <w:rPr>
          <w:rStyle w:val="Char9"/>
          <w:rFonts w:hint="cs"/>
          <w:sz w:val="20"/>
          <w:szCs w:val="20"/>
          <w:rtl/>
        </w:rPr>
        <w:t>ی</w:t>
      </w:r>
      <w:r w:rsidRPr="008C7124">
        <w:rPr>
          <w:rStyle w:val="Char9"/>
          <w:rFonts w:hint="cs"/>
          <w:sz w:val="20"/>
          <w:szCs w:val="20"/>
          <w:rtl/>
        </w:rPr>
        <w:t xml:space="preserve"> با فعال</w:t>
      </w:r>
      <w:r>
        <w:rPr>
          <w:rStyle w:val="Char9"/>
          <w:rFonts w:hint="cs"/>
          <w:sz w:val="20"/>
          <w:szCs w:val="20"/>
          <w:rtl/>
        </w:rPr>
        <w:t>ی</w:t>
      </w:r>
      <w:r w:rsidRPr="008C7124">
        <w:rPr>
          <w:rStyle w:val="Char9"/>
          <w:rFonts w:hint="cs"/>
          <w:sz w:val="20"/>
          <w:szCs w:val="20"/>
          <w:rtl/>
        </w:rPr>
        <w:t>ت</w:t>
      </w:r>
      <w:r w:rsidRPr="006E28E9">
        <w:rPr>
          <w:rFonts w:ascii="Times New Roman" w:hAnsi="Times New Roman" w:cs="Times New Roman" w:hint="cs"/>
          <w:b/>
          <w:bCs/>
          <w:rtl/>
          <w:lang w:bidi="ar-SY"/>
        </w:rPr>
        <w:t>‌</w:t>
      </w:r>
      <w:r w:rsidRPr="008C7124">
        <w:rPr>
          <w:rStyle w:val="Char9"/>
          <w:rFonts w:hint="cs"/>
          <w:sz w:val="20"/>
          <w:szCs w:val="20"/>
          <w:rtl/>
        </w:rPr>
        <w:t>ها</w:t>
      </w:r>
      <w:r>
        <w:rPr>
          <w:rStyle w:val="Char9"/>
          <w:rFonts w:hint="cs"/>
          <w:sz w:val="20"/>
          <w:szCs w:val="20"/>
          <w:rtl/>
        </w:rPr>
        <w:t>ی</w:t>
      </w:r>
      <w:r w:rsidRPr="008C7124">
        <w:rPr>
          <w:rStyle w:val="Char9"/>
          <w:rFonts w:hint="cs"/>
          <w:sz w:val="20"/>
          <w:szCs w:val="20"/>
          <w:rtl/>
        </w:rPr>
        <w:t xml:space="preserve"> دار التبل</w:t>
      </w:r>
      <w:r>
        <w:rPr>
          <w:rStyle w:val="Char9"/>
          <w:rFonts w:hint="cs"/>
          <w:sz w:val="20"/>
          <w:szCs w:val="20"/>
          <w:rtl/>
        </w:rPr>
        <w:t>ی</w:t>
      </w:r>
      <w:r w:rsidRPr="008C7124">
        <w:rPr>
          <w:rStyle w:val="Char9"/>
          <w:rFonts w:hint="cs"/>
          <w:sz w:val="20"/>
          <w:szCs w:val="20"/>
          <w:rtl/>
        </w:rPr>
        <w:t>غ اسلام</w:t>
      </w:r>
      <w:r>
        <w:rPr>
          <w:rStyle w:val="Char9"/>
          <w:rFonts w:hint="cs"/>
          <w:sz w:val="20"/>
          <w:szCs w:val="20"/>
          <w:rtl/>
        </w:rPr>
        <w:t>ی</w:t>
      </w:r>
      <w:r w:rsidRPr="008C7124">
        <w:rPr>
          <w:rStyle w:val="Char9"/>
          <w:rFonts w:hint="cs"/>
          <w:sz w:val="20"/>
          <w:szCs w:val="20"/>
          <w:rtl/>
        </w:rPr>
        <w:t xml:space="preserve"> به مناسبت دهم</w:t>
      </w:r>
      <w:r>
        <w:rPr>
          <w:rStyle w:val="Char9"/>
          <w:rFonts w:hint="cs"/>
          <w:sz w:val="20"/>
          <w:szCs w:val="20"/>
          <w:rtl/>
        </w:rPr>
        <w:t>ی</w:t>
      </w:r>
      <w:r w:rsidRPr="008C7124">
        <w:rPr>
          <w:rStyle w:val="Char9"/>
          <w:rFonts w:hint="cs"/>
          <w:sz w:val="20"/>
          <w:szCs w:val="20"/>
          <w:rtl/>
        </w:rPr>
        <w:t>ن  سالگرد</w:t>
      </w:r>
      <w:r w:rsidRPr="006E28E9">
        <w:rPr>
          <w:rFonts w:hint="cs"/>
          <w:rtl/>
          <w:lang w:bidi="ar-SY"/>
        </w:rPr>
        <w:t xml:space="preserve"> [التعرف على نشاطات دار التبليغ الإسلامي بمناسبة الذكرى السنوية العاشرة لإنشائها]، ص 12 - 15.</w:t>
      </w:r>
      <w:r w:rsidRPr="006E28E9">
        <w:rPr>
          <w:rtl/>
          <w:lang w:bidi="ar-SY"/>
        </w:rPr>
        <w:t xml:space="preserve"> </w:t>
      </w:r>
    </w:p>
  </w:footnote>
  <w:footnote w:id="173">
    <w:p w:rsidR="008C7124" w:rsidRPr="006E28E9" w:rsidRDefault="008C7124" w:rsidP="0092648A">
      <w:pPr>
        <w:pStyle w:val="FootnoteText"/>
        <w:rPr>
          <w:lang w:bidi="ar-SY"/>
        </w:rPr>
      </w:pPr>
      <w:r w:rsidRPr="006E28E9">
        <w:rPr>
          <w:rFonts w:ascii="Arabic11 BT" w:hAnsi="Arabic11 BT" w:cs="Arabic11 BT"/>
          <w:lang w:bidi="ar-SY"/>
        </w:rPr>
        <w:footnoteRef/>
      </w:r>
      <w:r w:rsidRPr="006E28E9">
        <w:rPr>
          <w:rFonts w:hint="cs"/>
          <w:rtl/>
          <w:lang w:bidi="ar-SY"/>
        </w:rPr>
        <w:t>. نشرت دار التبليغ كُتَـيِّبًا عنوانه: «</w:t>
      </w:r>
      <w:r w:rsidRPr="006E28E9">
        <w:rPr>
          <w:rFonts w:hint="cs"/>
          <w:b/>
          <w:bCs/>
          <w:rtl/>
          <w:lang w:bidi="ar-SY"/>
        </w:rPr>
        <w:t>في طريق الوحدة الإسلامية، زيارة شيخ الأزهر للجامعة الإسلامية في قم</w:t>
      </w:r>
      <w:r w:rsidRPr="006E28E9">
        <w:rPr>
          <w:rFonts w:hint="cs"/>
          <w:rtl/>
          <w:lang w:bidi="ar-SY"/>
        </w:rPr>
        <w:t xml:space="preserve">»، (قم 19 جمادى الأولى، 1391 هـ.ق).كما أدرج التقرير الذي نشرته دار التبليغ حول نشاطاتها خلال مدة عشر سنوات، تقريرًا حول هذه الزيارة والضيوف الذين حضروا فيها مع صور لهم.    </w:t>
      </w:r>
      <w:r w:rsidRPr="006E28E9">
        <w:rPr>
          <w:rtl/>
          <w:lang w:bidi="ar-SY"/>
        </w:rPr>
        <w:t xml:space="preserve"> </w:t>
      </w:r>
    </w:p>
  </w:footnote>
  <w:footnote w:id="174">
    <w:p w:rsidR="008C7124" w:rsidRPr="006E28E9" w:rsidRDefault="008C7124" w:rsidP="0092648A">
      <w:pPr>
        <w:pStyle w:val="FootnoteText"/>
        <w:rPr>
          <w:rtl/>
          <w:lang w:bidi="ar-SY"/>
        </w:rPr>
      </w:pPr>
      <w:r w:rsidRPr="006E28E9">
        <w:rPr>
          <w:rFonts w:ascii="Arabic11 BT" w:hAnsi="Arabic11 BT" w:cs="Arabic11 BT"/>
          <w:lang w:bidi="ar-SY"/>
        </w:rPr>
        <w:footnoteRef/>
      </w:r>
      <w:r w:rsidRPr="006E28E9">
        <w:rPr>
          <w:rFonts w:hint="cs"/>
          <w:rtl/>
          <w:lang w:bidi="ar-SY"/>
        </w:rPr>
        <w:t xml:space="preserve">. بما في ذلك </w:t>
      </w:r>
      <w:r w:rsidRPr="006E28E9">
        <w:rPr>
          <w:rtl/>
          <w:lang w:bidi="ar-SY"/>
        </w:rPr>
        <w:t xml:space="preserve">دار النشر والمطبعة والمكتبة ومتعلقاتها </w:t>
      </w:r>
      <w:r w:rsidRPr="006E28E9">
        <w:rPr>
          <w:rFonts w:hint="cs"/>
          <w:rtl/>
          <w:lang w:bidi="ar-SY"/>
        </w:rPr>
        <w:t>و</w:t>
      </w:r>
      <w:r w:rsidRPr="006E28E9">
        <w:rPr>
          <w:rtl/>
          <w:lang w:bidi="ar-SY"/>
        </w:rPr>
        <w:t xml:space="preserve">العمارات والقسم الداخلي </w:t>
      </w:r>
      <w:r w:rsidRPr="006E28E9">
        <w:rPr>
          <w:rFonts w:hint="cs"/>
          <w:rtl/>
          <w:lang w:bidi="ar-SY"/>
        </w:rPr>
        <w:t>كلها. (المُتَرْجِمُ)</w:t>
      </w:r>
    </w:p>
  </w:footnote>
  <w:footnote w:id="17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w:t>
      </w:r>
      <w:r w:rsidRPr="006E28E9">
        <w:rPr>
          <w:rFonts w:hint="cs"/>
          <w:rtl/>
        </w:rPr>
        <w:t>لثورة</w:t>
      </w:r>
      <w:r w:rsidRPr="006E28E9">
        <w:rPr>
          <w:rStyle w:val="FootnoteReference"/>
          <w:vertAlign w:val="baseline"/>
          <w:rtl/>
        </w:rPr>
        <w:t xml:space="preserve"> الدستورية في إيران </w:t>
      </w:r>
      <w:r w:rsidRPr="006E28E9">
        <w:rPr>
          <w:rFonts w:hint="cs"/>
          <w:rtl/>
        </w:rPr>
        <w:t xml:space="preserve">[وتُسَمَّى بالفارسية: نهضت مشروطه] </w:t>
      </w:r>
      <w:r w:rsidRPr="006E28E9">
        <w:rPr>
          <w:rStyle w:val="FootnoteReference"/>
          <w:rFonts w:hint="cs"/>
          <w:vertAlign w:val="baseline"/>
          <w:rtl/>
        </w:rPr>
        <w:t>ح</w:t>
      </w:r>
      <w:r w:rsidRPr="006E28E9">
        <w:rPr>
          <w:rFonts w:hint="cs"/>
          <w:rtl/>
        </w:rPr>
        <w:t>ركة</w:t>
      </w:r>
      <w:r w:rsidRPr="006E28E9">
        <w:rPr>
          <w:rStyle w:val="FootnoteReference"/>
          <w:vertAlign w:val="baseline"/>
          <w:rtl/>
        </w:rPr>
        <w:t xml:space="preserve"> ثوري</w:t>
      </w:r>
      <w:r w:rsidRPr="006E28E9">
        <w:rPr>
          <w:rFonts w:hint="cs"/>
          <w:rtl/>
        </w:rPr>
        <w:t>ة</w:t>
      </w:r>
      <w:r w:rsidRPr="006E28E9">
        <w:rPr>
          <w:rStyle w:val="FootnoteReference"/>
          <w:vertAlign w:val="baseline"/>
          <w:rtl/>
        </w:rPr>
        <w:t xml:space="preserve"> </w:t>
      </w:r>
      <w:r w:rsidRPr="006E28E9">
        <w:rPr>
          <w:rStyle w:val="FootnoteReference"/>
          <w:rFonts w:hint="cs"/>
          <w:vertAlign w:val="baseline"/>
          <w:rtl/>
        </w:rPr>
        <w:t>تحرري</w:t>
      </w:r>
      <w:r w:rsidRPr="006E28E9">
        <w:rPr>
          <w:rFonts w:hint="cs"/>
          <w:rtl/>
        </w:rPr>
        <w:t>ة</w:t>
      </w:r>
      <w:r w:rsidRPr="006E28E9">
        <w:rPr>
          <w:rStyle w:val="FootnoteReference"/>
          <w:rFonts w:hint="cs"/>
          <w:vertAlign w:val="baseline"/>
          <w:rtl/>
        </w:rPr>
        <w:t xml:space="preserve"> </w:t>
      </w:r>
      <w:r w:rsidRPr="006E28E9">
        <w:rPr>
          <w:rStyle w:val="FootnoteReference"/>
          <w:vertAlign w:val="baseline"/>
          <w:rtl/>
        </w:rPr>
        <w:t>انطلق</w:t>
      </w:r>
      <w:r w:rsidRPr="006E28E9">
        <w:rPr>
          <w:rFonts w:hint="cs"/>
          <w:rtl/>
        </w:rPr>
        <w:t>ت</w:t>
      </w:r>
      <w:r w:rsidRPr="006E28E9">
        <w:rPr>
          <w:rStyle w:val="FootnoteReference"/>
          <w:vertAlign w:val="baseline"/>
          <w:rtl/>
        </w:rPr>
        <w:t xml:space="preserve"> في عهد </w:t>
      </w:r>
      <w:r w:rsidRPr="006E28E9">
        <w:rPr>
          <w:rFonts w:hint="cs"/>
          <w:rtl/>
        </w:rPr>
        <w:t xml:space="preserve">الملك </w:t>
      </w:r>
      <w:r w:rsidRPr="006E28E9">
        <w:rPr>
          <w:rStyle w:val="FootnoteReference"/>
          <w:vertAlign w:val="baseline"/>
          <w:rtl/>
        </w:rPr>
        <w:t>مظفر الدين شاه القاجاري، خامس ملوك السلالة القاجارية، في مطلع القرن العشرين، قاد</w:t>
      </w:r>
      <w:r w:rsidRPr="006E28E9">
        <w:rPr>
          <w:rFonts w:hint="cs"/>
          <w:rtl/>
        </w:rPr>
        <w:t>ها</w:t>
      </w:r>
      <w:r w:rsidRPr="006E28E9">
        <w:rPr>
          <w:rStyle w:val="FootnoteReference"/>
          <w:vertAlign w:val="baseline"/>
          <w:rtl/>
        </w:rPr>
        <w:t xml:space="preserve"> بعض الزعماء </w:t>
      </w:r>
      <w:r w:rsidRPr="006E28E9">
        <w:rPr>
          <w:rStyle w:val="FootnoteReference"/>
          <w:rFonts w:hint="cs"/>
          <w:vertAlign w:val="baseline"/>
          <w:rtl/>
        </w:rPr>
        <w:t>الوطنيين و</w:t>
      </w:r>
      <w:r w:rsidRPr="006E28E9">
        <w:rPr>
          <w:rStyle w:val="FootnoteReference"/>
          <w:vertAlign w:val="baseline"/>
          <w:rtl/>
        </w:rPr>
        <w:t>بعض علماء الدين</w:t>
      </w:r>
      <w:r w:rsidRPr="006E28E9">
        <w:rPr>
          <w:rStyle w:val="FootnoteReference"/>
          <w:rFonts w:hint="cs"/>
          <w:vertAlign w:val="baseline"/>
          <w:rtl/>
        </w:rPr>
        <w:t>، وأفضت إلى</w:t>
      </w:r>
      <w:r w:rsidRPr="006E28E9">
        <w:rPr>
          <w:rStyle w:val="FootnoteReference"/>
          <w:vertAlign w:val="baseline"/>
          <w:rtl/>
        </w:rPr>
        <w:t xml:space="preserve"> </w:t>
      </w:r>
      <w:r w:rsidRPr="006E28E9">
        <w:rPr>
          <w:rFonts w:hint="cs"/>
          <w:rtl/>
        </w:rPr>
        <w:t xml:space="preserve">إجبار </w:t>
      </w:r>
      <w:r w:rsidRPr="006E28E9">
        <w:rPr>
          <w:rStyle w:val="FootnoteReference"/>
          <w:vertAlign w:val="baseline"/>
          <w:rtl/>
        </w:rPr>
        <w:t xml:space="preserve">الملك مظفر الدين شاه </w:t>
      </w:r>
      <w:r w:rsidRPr="006E28E9">
        <w:rPr>
          <w:rStyle w:val="FootnoteReference"/>
          <w:rFonts w:hint="cs"/>
          <w:vertAlign w:val="baseline"/>
          <w:rtl/>
        </w:rPr>
        <w:t>ع</w:t>
      </w:r>
      <w:r w:rsidRPr="006E28E9">
        <w:rPr>
          <w:rFonts w:hint="cs"/>
          <w:rtl/>
        </w:rPr>
        <w:t>لى</w:t>
      </w:r>
      <w:r w:rsidRPr="006E28E9">
        <w:rPr>
          <w:rStyle w:val="FootnoteReference"/>
          <w:vertAlign w:val="baseline"/>
          <w:rtl/>
        </w:rPr>
        <w:t xml:space="preserve"> إصدار أوامره عام 1324هـ.ق (1906م)</w:t>
      </w:r>
      <w:r w:rsidRPr="006E28E9">
        <w:rPr>
          <w:rFonts w:hint="cs"/>
          <w:rtl/>
        </w:rPr>
        <w:t xml:space="preserve"> </w:t>
      </w:r>
      <w:r w:rsidRPr="006E28E9">
        <w:rPr>
          <w:rStyle w:val="FootnoteReference"/>
          <w:vertAlign w:val="baseline"/>
          <w:rtl/>
        </w:rPr>
        <w:t xml:space="preserve">بتحول الملكية المستبدة </w:t>
      </w:r>
      <w:r w:rsidRPr="006E28E9">
        <w:rPr>
          <w:rFonts w:hint="cs"/>
          <w:rtl/>
        </w:rPr>
        <w:t xml:space="preserve">المطلقة </w:t>
      </w:r>
      <w:r w:rsidRPr="006E28E9">
        <w:rPr>
          <w:rStyle w:val="FootnoteReference"/>
          <w:vertAlign w:val="baseline"/>
          <w:rtl/>
        </w:rPr>
        <w:t xml:space="preserve">إلى ملكية مقيَّدة </w:t>
      </w:r>
      <w:r w:rsidRPr="006E28E9">
        <w:rPr>
          <w:rFonts w:hint="cs"/>
          <w:rtl/>
        </w:rPr>
        <w:t>[</w:t>
      </w:r>
      <w:r w:rsidRPr="006E28E9">
        <w:rPr>
          <w:rStyle w:val="FootnoteReference"/>
          <w:vertAlign w:val="baseline"/>
          <w:rtl/>
        </w:rPr>
        <w:t>مشروطة</w:t>
      </w:r>
      <w:r w:rsidRPr="006E28E9">
        <w:rPr>
          <w:rStyle w:val="FootnoteReference"/>
          <w:rFonts w:hint="cs"/>
          <w:vertAlign w:val="baseline"/>
          <w:rtl/>
        </w:rPr>
        <w:t>]</w:t>
      </w:r>
      <w:r w:rsidRPr="006E28E9">
        <w:rPr>
          <w:rStyle w:val="FootnoteReference"/>
          <w:vertAlign w:val="baseline"/>
          <w:rtl/>
        </w:rPr>
        <w:t xml:space="preserve"> بالدستور، </w:t>
      </w:r>
      <w:r w:rsidRPr="006E28E9">
        <w:rPr>
          <w:rStyle w:val="FootnoteReference"/>
          <w:rFonts w:hint="cs"/>
          <w:vertAlign w:val="baseline"/>
          <w:rtl/>
        </w:rPr>
        <w:t>و</w:t>
      </w:r>
      <w:r w:rsidRPr="006E28E9">
        <w:rPr>
          <w:rFonts w:hint="cs"/>
          <w:rtl/>
        </w:rPr>
        <w:t xml:space="preserve">تنازله </w:t>
      </w:r>
      <w:r w:rsidRPr="006E28E9">
        <w:rPr>
          <w:rStyle w:val="FootnoteReference"/>
          <w:vertAlign w:val="baseline"/>
          <w:rtl/>
        </w:rPr>
        <w:t xml:space="preserve">عن بعض صلاحياته لصالح مجلس نيابي </w:t>
      </w:r>
      <w:r w:rsidRPr="006E28E9">
        <w:rPr>
          <w:rStyle w:val="FootnoteReference"/>
          <w:rFonts w:hint="cs"/>
          <w:vertAlign w:val="baseline"/>
          <w:rtl/>
        </w:rPr>
        <w:t>م</w:t>
      </w:r>
      <w:r w:rsidRPr="006E28E9">
        <w:rPr>
          <w:rFonts w:hint="cs"/>
          <w:rtl/>
        </w:rPr>
        <w:t>ُنتَخَب</w:t>
      </w:r>
      <w:r w:rsidRPr="006E28E9">
        <w:rPr>
          <w:rStyle w:val="FootnoteReference"/>
          <w:vertAlign w:val="baseline"/>
          <w:rtl/>
        </w:rPr>
        <w:t>.</w:t>
      </w:r>
      <w:r w:rsidRPr="006E28E9">
        <w:rPr>
          <w:rFonts w:hint="cs"/>
          <w:rtl/>
        </w:rPr>
        <w:t xml:space="preserve"> (المُتَرْجِمُ)</w:t>
      </w:r>
    </w:p>
  </w:footnote>
  <w:footnote w:id="176">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lang w:bidi="ar-SY"/>
        </w:rPr>
        <w:t xml:space="preserve">. </w:t>
      </w:r>
      <w:r w:rsidRPr="008C7124">
        <w:rPr>
          <w:rStyle w:val="Char9"/>
          <w:rFonts w:hint="cs"/>
          <w:sz w:val="20"/>
          <w:szCs w:val="20"/>
          <w:rtl/>
        </w:rPr>
        <w:t>علما و رژ</w:t>
      </w:r>
      <w:r>
        <w:rPr>
          <w:rStyle w:val="Char9"/>
          <w:rFonts w:hint="cs"/>
          <w:sz w:val="20"/>
          <w:szCs w:val="20"/>
          <w:rtl/>
        </w:rPr>
        <w:t>ی</w:t>
      </w:r>
      <w:r w:rsidRPr="008C7124">
        <w:rPr>
          <w:rStyle w:val="Char9"/>
          <w:rFonts w:hint="cs"/>
          <w:sz w:val="20"/>
          <w:szCs w:val="20"/>
          <w:rtl/>
        </w:rPr>
        <w:t>م رضاشاه</w:t>
      </w:r>
      <w:r w:rsidRPr="006E28E9">
        <w:rPr>
          <w:rFonts w:hint="cs"/>
          <w:rtl/>
          <w:lang w:bidi="ar-SY"/>
        </w:rPr>
        <w:t xml:space="preserve"> [أي: العلماء ونظام رضا شاه]، ص 136-137.</w:t>
      </w:r>
    </w:p>
  </w:footnote>
  <w:footnote w:id="177">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lang w:bidi="ar-SY"/>
        </w:rPr>
        <w:t>. نقلاً عن الصفحة الأولى للترجمة الفارسية لكتاب «</w:t>
      </w:r>
      <w:r w:rsidRPr="006E28E9">
        <w:rPr>
          <w:rFonts w:hint="cs"/>
          <w:b/>
          <w:bCs/>
          <w:rtl/>
          <w:lang w:bidi="ar-SY"/>
        </w:rPr>
        <w:t>أصل الشيعة وأصولها</w:t>
      </w:r>
      <w:r w:rsidRPr="006E28E9">
        <w:rPr>
          <w:rFonts w:hint="cs"/>
          <w:rtl/>
          <w:lang w:bidi="ar-SY"/>
        </w:rPr>
        <w:t>»، ترجمة علي رضا خسرواني، طبع سنة 1317 هـ.ش، تحت عنوان «</w:t>
      </w:r>
      <w:r w:rsidRPr="008C7124">
        <w:rPr>
          <w:rStyle w:val="Char9"/>
          <w:rFonts w:hint="cs"/>
          <w:sz w:val="20"/>
          <w:szCs w:val="20"/>
          <w:rtl/>
        </w:rPr>
        <w:t>ر</w:t>
      </w:r>
      <w:r>
        <w:rPr>
          <w:rStyle w:val="Char9"/>
          <w:rFonts w:hint="cs"/>
          <w:sz w:val="20"/>
          <w:szCs w:val="20"/>
          <w:rtl/>
        </w:rPr>
        <w:t>ی</w:t>
      </w:r>
      <w:r w:rsidRPr="008C7124">
        <w:rPr>
          <w:rStyle w:val="Char9"/>
          <w:rFonts w:hint="cs"/>
          <w:sz w:val="20"/>
          <w:szCs w:val="20"/>
          <w:rtl/>
        </w:rPr>
        <w:t>شه ش</w:t>
      </w:r>
      <w:r>
        <w:rPr>
          <w:rStyle w:val="Char9"/>
          <w:rFonts w:hint="cs"/>
          <w:sz w:val="20"/>
          <w:szCs w:val="20"/>
          <w:rtl/>
        </w:rPr>
        <w:t>ی</w:t>
      </w:r>
      <w:r w:rsidRPr="008C7124">
        <w:rPr>
          <w:rStyle w:val="Char9"/>
          <w:rFonts w:hint="cs"/>
          <w:sz w:val="20"/>
          <w:szCs w:val="20"/>
          <w:rtl/>
        </w:rPr>
        <w:t>عه و پا</w:t>
      </w:r>
      <w:r>
        <w:rPr>
          <w:rStyle w:val="Char9"/>
          <w:rFonts w:hint="cs"/>
          <w:sz w:val="20"/>
          <w:szCs w:val="20"/>
          <w:rtl/>
        </w:rPr>
        <w:t>ی</w:t>
      </w:r>
      <w:r w:rsidRPr="008C7124">
        <w:rPr>
          <w:rStyle w:val="Char9"/>
          <w:rFonts w:hint="cs"/>
          <w:sz w:val="20"/>
          <w:szCs w:val="20"/>
          <w:rtl/>
        </w:rPr>
        <w:t>ه</w:t>
      </w:r>
      <w:r w:rsidRPr="006E28E9">
        <w:rPr>
          <w:rFonts w:ascii="Times New Roman" w:hAnsi="Times New Roman" w:cs="Times New Roman" w:hint="cs"/>
          <w:b/>
          <w:bCs/>
          <w:rtl/>
          <w:lang w:bidi="ar-SY"/>
        </w:rPr>
        <w:t>‌</w:t>
      </w:r>
      <w:r w:rsidRPr="008C7124">
        <w:rPr>
          <w:rStyle w:val="Char9"/>
          <w:rFonts w:hint="cs"/>
          <w:sz w:val="20"/>
          <w:szCs w:val="20"/>
          <w:rtl/>
        </w:rPr>
        <w:t>هاى آن</w:t>
      </w:r>
      <w:r w:rsidRPr="006E28E9">
        <w:rPr>
          <w:rFonts w:hint="cs"/>
          <w:rtl/>
          <w:lang w:bidi="ar-SY"/>
        </w:rPr>
        <w:t xml:space="preserve">» [أي: </w:t>
      </w:r>
      <w:r w:rsidRPr="006E28E9">
        <w:rPr>
          <w:rFonts w:hint="cs"/>
          <w:b/>
          <w:bCs/>
          <w:rtl/>
          <w:lang w:bidi="ar-SY"/>
        </w:rPr>
        <w:t>جذور الشيعة وأسسهم</w:t>
      </w:r>
      <w:r w:rsidRPr="006E28E9">
        <w:rPr>
          <w:rFonts w:hint="cs"/>
          <w:rtl/>
          <w:lang w:bidi="ar-SY"/>
        </w:rPr>
        <w:t>].</w:t>
      </w:r>
    </w:p>
  </w:footnote>
  <w:footnote w:id="178">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lang w:bidi="ar-SY"/>
        </w:rPr>
        <w:t xml:space="preserve">. طهران، 1318 هـ.ش (ويقع في 89 صفحة)، و 1319 هـ.ش (ويقع في 172 صفحة). انظر: </w:t>
      </w:r>
      <w:r w:rsidRPr="006E28E9">
        <w:rPr>
          <w:rFonts w:hint="cs"/>
          <w:b/>
          <w:bCs/>
          <w:rtl/>
          <w:lang w:bidi="ar-SY"/>
        </w:rPr>
        <w:t>فهرس الكتب المطبوعة الفارسية</w:t>
      </w:r>
      <w:r w:rsidRPr="006E28E9">
        <w:rPr>
          <w:rFonts w:hint="cs"/>
          <w:rtl/>
          <w:lang w:bidi="ar-SY"/>
        </w:rPr>
        <w:t>، صفحة 3382.</w:t>
      </w:r>
    </w:p>
  </w:footnote>
  <w:footnote w:id="179">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lang w:bidi="ar-SY"/>
        </w:rPr>
        <w:t xml:space="preserve">.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اسلام</w:t>
      </w:r>
      <w:r w:rsidRPr="006E28E9">
        <w:rPr>
          <w:rFonts w:hint="cs"/>
          <w:rtl/>
          <w:lang w:bidi="ar-SY"/>
        </w:rPr>
        <w:t xml:space="preserve"> [شريعة الإسلام]، السنة الثالثة، العدد 2، ص 11.</w:t>
      </w:r>
    </w:p>
  </w:footnote>
  <w:footnote w:id="180">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lang w:bidi="ar-SY"/>
        </w:rPr>
        <w:t xml:space="preserve">. </w:t>
      </w:r>
      <w:r>
        <w:rPr>
          <w:rStyle w:val="Char9"/>
          <w:rFonts w:hint="cs"/>
          <w:sz w:val="20"/>
          <w:szCs w:val="20"/>
          <w:rtl/>
        </w:rPr>
        <w:t>ک</w:t>
      </w:r>
      <w:r w:rsidRPr="008C7124">
        <w:rPr>
          <w:rStyle w:val="Char9"/>
          <w:rFonts w:hint="cs"/>
          <w:sz w:val="20"/>
          <w:szCs w:val="20"/>
          <w:rtl/>
        </w:rPr>
        <w:t>دام قرآن</w:t>
      </w:r>
      <w:r w:rsidRPr="006E28E9">
        <w:rPr>
          <w:rFonts w:hint="cs"/>
          <w:rtl/>
          <w:lang w:bidi="ar-SY"/>
        </w:rPr>
        <w:t>؟ [أي: أي قرآن؟] ص 13، نقلاً عن: بن بست، ج 1، ص 53. وقد جاءت عبارات كثيرة مشابهة لذلك، تتضمن هجومًا أوسع على الفقهاء والفقه التقليدي السائد في الحوزات، في مجلد آخر من مجلدات هذه المجموعة تحت اسم «</w:t>
      </w:r>
      <w:r w:rsidRPr="008C7124">
        <w:rPr>
          <w:rStyle w:val="Char9"/>
          <w:rFonts w:hint="cs"/>
          <w:sz w:val="20"/>
          <w:szCs w:val="20"/>
          <w:rtl/>
        </w:rPr>
        <w:t>مفهوم واژه</w:t>
      </w:r>
      <w:r w:rsidRPr="006E28E9">
        <w:rPr>
          <w:rFonts w:ascii="Times New Roman" w:hAnsi="Times New Roman" w:cs="Times New Roman" w:hint="cs"/>
          <w:b/>
          <w:bCs/>
          <w:rtl/>
          <w:lang w:bidi="ar-SY"/>
        </w:rPr>
        <w:t>‌</w:t>
      </w:r>
      <w:r w:rsidRPr="008C7124">
        <w:rPr>
          <w:rStyle w:val="Char9"/>
          <w:rFonts w:hint="cs"/>
          <w:sz w:val="20"/>
          <w:szCs w:val="20"/>
          <w:rtl/>
        </w:rPr>
        <w:t>ها</w:t>
      </w:r>
      <w:r>
        <w:rPr>
          <w:rStyle w:val="Char9"/>
          <w:rFonts w:hint="cs"/>
          <w:sz w:val="20"/>
          <w:szCs w:val="20"/>
          <w:rtl/>
        </w:rPr>
        <w:t>یی</w:t>
      </w:r>
      <w:r w:rsidRPr="008C7124">
        <w:rPr>
          <w:rStyle w:val="Char9"/>
          <w:rFonts w:hint="cs"/>
          <w:sz w:val="20"/>
          <w:szCs w:val="20"/>
          <w:rtl/>
        </w:rPr>
        <w:t xml:space="preserve"> از قرآن</w:t>
      </w:r>
      <w:r w:rsidRPr="006E28E9">
        <w:rPr>
          <w:rFonts w:hint="cs"/>
          <w:rtl/>
          <w:lang w:bidi="ar-SY"/>
        </w:rPr>
        <w:t>» [مفهوم بعض مفردات القرآن]، «معرفة الإسلام لدى الأميين» (طبع زيراكس في أصفهان).</w:t>
      </w:r>
    </w:p>
  </w:footnote>
  <w:footnote w:id="181">
    <w:p w:rsidR="008C7124" w:rsidRPr="006E28E9" w:rsidRDefault="008C7124" w:rsidP="00E4364C">
      <w:pPr>
        <w:pStyle w:val="FootnoteText"/>
        <w:widowControl w:val="0"/>
        <w:rPr>
          <w:rtl/>
          <w:lang w:bidi="ar-SY"/>
        </w:rPr>
      </w:pPr>
      <w:r w:rsidRPr="006E28E9">
        <w:rPr>
          <w:rStyle w:val="FootnoteReference"/>
          <w:rFonts w:ascii="Arabic11 BT" w:hAnsi="Arabic11 BT" w:cs="Arabic11 BT"/>
          <w:vertAlign w:val="baseline"/>
        </w:rPr>
        <w:footnoteRef/>
      </w:r>
      <w:r w:rsidRPr="006E28E9">
        <w:rPr>
          <w:rFonts w:hint="cs"/>
          <w:rtl/>
        </w:rPr>
        <w:t xml:space="preserve">. من جملة ذلك عقيدته حول إمامة الإمام علي </w:t>
      </w:r>
      <w:r w:rsidRPr="00924380">
        <w:rPr>
          <w:rFonts w:cs="CTraditional Arabic" w:hint="cs"/>
          <w:rtl/>
          <w:lang w:bidi="ar-SY"/>
        </w:rPr>
        <w:t>÷</w:t>
      </w:r>
      <w:r w:rsidRPr="006E28E9">
        <w:rPr>
          <w:rFonts w:hint="cs"/>
          <w:rtl/>
          <w:lang w:bidi="ar-SY"/>
        </w:rPr>
        <w:t xml:space="preserve"> ورأيه أنه رُشِّح [من قبل رسول الله] -مجرد ترشيح- لمنصب الإمامة في كتابه «</w:t>
      </w:r>
      <w:r w:rsidRPr="006E28E9">
        <w:rPr>
          <w:rFonts w:hint="cs"/>
          <w:b/>
          <w:bCs/>
          <w:rtl/>
          <w:lang w:bidi="ar-SY"/>
        </w:rPr>
        <w:t>الأمة والإمامة</w:t>
      </w:r>
      <w:r w:rsidRPr="006E28E9">
        <w:rPr>
          <w:rFonts w:hint="cs"/>
          <w:rtl/>
          <w:lang w:bidi="ar-SY"/>
        </w:rPr>
        <w:t xml:space="preserve">»، وهي عقيدة رجع عنها فيما بعد. </w:t>
      </w:r>
    </w:p>
  </w:footnote>
  <w:footnote w:id="182">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rtl/>
          <w:lang w:bidi="ar-SY"/>
        </w:rPr>
        <w:t>انظر مجلّة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وفرهنگ معاصر</w:t>
      </w:r>
      <w:r w:rsidRPr="006E28E9">
        <w:rPr>
          <w:rFonts w:hint="cs"/>
          <w:rtl/>
          <w:lang w:bidi="ar-SY"/>
        </w:rPr>
        <w:t>» (أي التاريخ والثقافة المعاصرة)، العدد 3، ص 394.</w:t>
      </w:r>
    </w:p>
  </w:footnote>
  <w:footnote w:id="183">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lang w:bidi="ar-SY"/>
        </w:rPr>
        <w:t>أي يعتبرونهما أصحاب أفكار جديدة في بعضها انحراف عن أصول المذهب الشيعي الإمامي كاعتقادهما بوجوب الثورة ضد الظلم وإقامة الحكم الإسلامي العادل حتى قبل قيام المهدي المنتظر، وأنه لا يجوز العمل بالتقية إذا أدت إلى هدم الإسلام، وموقفهما المتسامح إلى حدٍّ ما تجاه الدكتور شريعتي أو صالحي نجف آبادي رغم أفكارهما التي اعتبرها بعض المراجع أفكارًا مقتربة من السنة وضد شيعية، وكمنعهم بعض الممارسات العامية في مراسم عاشوراء كضرب الرؤوس بالسيوف وإيذاء البدن، وكتقبلهما لكبار أئمة الفلسفة والعرفان رغم أن أكثرهم من أهل السنة، وانفتاحهما تجاه أهل السنة وتساهلهما النسبي تجاههم مع رفع شعار الوحدة الإسلامية ودعم قضايا المسلمين في العالم الإسلامي كقضية فلسطين، ونحو ذلك من الأمور التي لا تتماشى مع مذاق الطائفيين والمتعصبين المذهبيين المتشددين في انغلاقهم المذهبي وتحجّرهم الديني. (المُتَرْجِمُ)</w:t>
      </w:r>
    </w:p>
  </w:footnote>
  <w:footnote w:id="184">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يشير السيد مهدوي كني في معرض حديثه عن «مسجد هدايت» وتأثيره كمركز للإيقاظ والثورة، إلى الاتهامات التي كانت تُوَجَّه في ذلك الزمن إلى السيد «</w:t>
      </w:r>
      <w:r w:rsidRPr="008C7124">
        <w:rPr>
          <w:rStyle w:val="Char9"/>
          <w:rFonts w:hint="cs"/>
          <w:sz w:val="20"/>
          <w:szCs w:val="20"/>
          <w:rtl/>
        </w:rPr>
        <w:t>طالقان</w:t>
      </w:r>
      <w:r>
        <w:rPr>
          <w:rStyle w:val="Char9"/>
          <w:rFonts w:hint="cs"/>
          <w:sz w:val="20"/>
          <w:szCs w:val="20"/>
          <w:rtl/>
        </w:rPr>
        <w:t>ی</w:t>
      </w:r>
      <w:r w:rsidRPr="006E28E9">
        <w:rPr>
          <w:rFonts w:hint="cs"/>
          <w:rtl/>
        </w:rPr>
        <w:t>» إذْ كانوا يقولون عنه إنَّه وهابيٌّ. وكانوا يقولون أحيانًا إنَّه لا يضع التربة للسجود عليها أثناء الصلاة. ويقولون أحيانًا إن عقيدته هي عقيدة الوهابيّة. (انظر: «</w:t>
      </w:r>
      <w:r>
        <w:rPr>
          <w:rStyle w:val="Char9"/>
          <w:rFonts w:hint="cs"/>
          <w:sz w:val="20"/>
          <w:szCs w:val="20"/>
          <w:rtl/>
        </w:rPr>
        <w:t>ی</w:t>
      </w:r>
      <w:r w:rsidRPr="008C7124">
        <w:rPr>
          <w:rStyle w:val="Char9"/>
          <w:rFonts w:hint="cs"/>
          <w:sz w:val="20"/>
          <w:szCs w:val="20"/>
          <w:rtl/>
        </w:rPr>
        <w:t>ادنامه ابو ذر زمان</w:t>
      </w:r>
      <w:r w:rsidRPr="006E28E9">
        <w:rPr>
          <w:rFonts w:hint="cs"/>
          <w:rtl/>
        </w:rPr>
        <w:t xml:space="preserve">» [أي ذكرى أبو ذر العصر]، ص 284) </w:t>
      </w:r>
    </w:p>
  </w:footnote>
  <w:footnote w:id="185">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Fonts w:hint="cs"/>
          <w:rtl/>
        </w:rPr>
        <w:t>. يشير عبد الرحيم ملازهي البلوشي في مقدمة ترجمته لكتاب البرقعي الذي ألَّفه في الرد على روايات كتاب «</w:t>
      </w:r>
      <w:r w:rsidRPr="006E28E9">
        <w:rPr>
          <w:rFonts w:hint="cs"/>
          <w:b/>
          <w:bCs/>
          <w:rtl/>
        </w:rPr>
        <w:t>الكافي</w:t>
      </w:r>
      <w:r w:rsidRPr="006E28E9">
        <w:rPr>
          <w:rFonts w:hint="cs"/>
          <w:rtl/>
        </w:rPr>
        <w:t>» والذي حمل عنوان «</w:t>
      </w:r>
      <w:r w:rsidRPr="006E28E9">
        <w:rPr>
          <w:rFonts w:hint="cs"/>
          <w:b/>
          <w:bCs/>
          <w:rtl/>
        </w:rPr>
        <w:t>كَسْر الصنم</w:t>
      </w:r>
      <w:r w:rsidRPr="006E28E9">
        <w:rPr>
          <w:rFonts w:hint="cs"/>
          <w:rtl/>
        </w:rPr>
        <w:t>»، إلى التيار الذي ابتدأ بأسد الله خرقاني حتى شريعت سنگلجي ثم أحمد كسروي، والدكتور شُعَار - الذي كان والده الميرزا يوسف شُعَار ثم ابنه جعفر من مؤسسي مدرسة القرآن في تبريز والمواصلين لنشاطها والتي تتبع ما يشبه هذا الخط- وصولاً إلى قلمداران والسيد مصطفى الطباطبائي، مؤكدًا على دور رموز هذا التيَّار في إضعاف الشيعة، وعلى ضرورة تأييدهم والدفاع عنهم. انظر: مقدمة «</w:t>
      </w:r>
      <w:r w:rsidRPr="006E28E9">
        <w:rPr>
          <w:rFonts w:hint="cs"/>
          <w:b/>
          <w:bCs/>
          <w:rtl/>
        </w:rPr>
        <w:t>كَسْر الصنم</w:t>
      </w:r>
      <w:r w:rsidRPr="006E28E9">
        <w:rPr>
          <w:rFonts w:hint="cs"/>
          <w:rtl/>
        </w:rPr>
        <w:t xml:space="preserve">»، الأردن، 1988، المقدمة، ص 23-26. </w:t>
      </w:r>
    </w:p>
    <w:p w:rsidR="008C7124" w:rsidRPr="006E28E9" w:rsidRDefault="008C7124" w:rsidP="0092648A">
      <w:pPr>
        <w:pStyle w:val="FootnoteText"/>
        <w:rPr>
          <w:rtl/>
        </w:rPr>
      </w:pPr>
      <w:r w:rsidRPr="006E28E9">
        <w:rPr>
          <w:rFonts w:hint="cs"/>
          <w:rtl/>
        </w:rPr>
        <w:t>وجاء في مقدمة عمر بن محمد أبو عمر (اسم مستعار) على الكتاب ذاته إيضاحات حول هذا الموضوع، من جملتها قوله في الصفحة 15: «والشيخ البرقعي في الحقيقة هو جزء من ظاهرة ينبغي علينا أن نعيها وأن نسعى لتنميتها ونشرها؛ هذه الظاهرة هي هداية بعض مشايخ وأئمة التشيع إلى فساد مذهبهم واقترابهم إلى اكتشاف الحق والصواب».</w:t>
      </w:r>
    </w:p>
  </w:footnote>
  <w:footnote w:id="186">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rPr>
        <w:t>. وكنموذج للمسائل التي ينكرها عادةً أتباع هذا التيار أو ينادون بها: إنكار الاحتفالات وإضاءة الأنوار في مناسبات مواليد الأئمة، وإنكار بناء الحسينيات [وما يتم فيها من إقامة المآتم الحسينية ولطم الصدور وضرب الأبدان بالسلاسل...الخ] ، واعتبار المراقد المطهرة بقاعًا لا مزيَّة لها بل مثلها مثل سائر بقاع الأرض</w:t>
      </w:r>
      <w:r w:rsidRPr="006E28E9">
        <w:rPr>
          <w:rFonts w:hint="cs"/>
          <w:rtl/>
          <w:lang w:bidi="ar-SY"/>
        </w:rPr>
        <w:t>، والشك في عصمة فاطمة الزهراء سلام الله عليها وطهارتها التامة، وإنكار عقيدة الشفاعة، وإنكار زيارة والقبور (أي السفر لزيارة المشاهد والمزارات)، وإنكار الشهادة الثالثة في الأذان [أي الشهادة بأن عليًّا ولي الله وحجة الله في الأذان بعد الشهادتين بالتوحيد والنبوة]، وإنكار السجود على التربة في الصلاة.</w:t>
      </w:r>
    </w:p>
    <w:p w:rsidR="008C7124" w:rsidRPr="006E28E9" w:rsidRDefault="008C7124" w:rsidP="0092648A">
      <w:pPr>
        <w:pStyle w:val="FootnoteText"/>
        <w:rPr>
          <w:lang w:bidi="ar-SY"/>
        </w:rPr>
      </w:pPr>
      <w:r w:rsidRPr="006E28E9">
        <w:rPr>
          <w:rFonts w:hint="cs"/>
          <w:rtl/>
          <w:lang w:bidi="ar-SY"/>
        </w:rPr>
        <w:t>فعلى سبيل المثال جاء في كتاب «</w:t>
      </w:r>
      <w:r w:rsidRPr="008C7124">
        <w:rPr>
          <w:rStyle w:val="Char9"/>
          <w:rFonts w:hint="cs"/>
          <w:sz w:val="20"/>
          <w:szCs w:val="20"/>
          <w:rtl/>
        </w:rPr>
        <w:t>مفهوم واژه</w:t>
      </w:r>
      <w:r w:rsidRPr="006E28E9">
        <w:rPr>
          <w:rFonts w:ascii="Times New Roman" w:hAnsi="Times New Roman" w:cs="Times New Roman" w:hint="cs"/>
          <w:b/>
          <w:bCs/>
          <w:rtl/>
          <w:lang w:bidi="ar-SY"/>
        </w:rPr>
        <w:t>‌</w:t>
      </w:r>
      <w:r w:rsidRPr="008C7124">
        <w:rPr>
          <w:rStyle w:val="Char9"/>
          <w:rFonts w:hint="cs"/>
          <w:sz w:val="20"/>
          <w:szCs w:val="20"/>
          <w:rtl/>
        </w:rPr>
        <w:t>هاىى از قرآن</w:t>
      </w:r>
      <w:r w:rsidRPr="006E28E9">
        <w:rPr>
          <w:rFonts w:hint="cs"/>
          <w:rtl/>
          <w:lang w:bidi="ar-SY"/>
        </w:rPr>
        <w:t>» [مفهوم بعض مفردات القرآن] (ج 6-8، ص 7)، الذي نُشِر مِنْ قِبَلِ هذه المجموعة ذاتها، أن المشكلة الاقتصادية للناس [في إيران] تنبع من إنفاقهم مبالغ باهظة لأجل «فرش أرضية المراقد بأغلى أنواع البلاط والمرمر وتزيينها بالثريات الضخمة التي يبلغ سعر الواحدة منها الملايين و[إنفاق الأموال الطائلة] على بناء القباب والأضرحة العظيمة» و«انفاق رؤوس أموالهم في أيام كثيرة من السنة على صنع الحساء والاحتفالات وإضاءة المصابيح وتقديم الأضاحي باسم غير الله والأسفار والزيارات الشركية [أي شد الرحال والسفر لزيارة المشاهد والقبور التي تمارس فيها أعمال مشوبة بالشرك]».</w:t>
      </w:r>
    </w:p>
  </w:footnote>
  <w:footnote w:id="187">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لاشك أنه يمكن لبعض فتاوى هذا الفريق أن تجد من يؤيدها ويوافق عليها، أما أن نجد في فكر فقهي واحد كل هذا المقدار من الآراء النادرة والشاذة فهو أمر نادر لا نظير له تقريبًا. </w:t>
      </w:r>
    </w:p>
  </w:footnote>
  <w:footnote w:id="188">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مفهوم واژه</w:t>
      </w:r>
      <w:r w:rsidRPr="006E28E9">
        <w:rPr>
          <w:rFonts w:ascii="Times New Roman" w:hAnsi="Times New Roman" w:cs="Times New Roman" w:hint="cs"/>
          <w:b/>
          <w:bCs/>
          <w:rtl/>
        </w:rPr>
        <w:t>‌</w:t>
      </w:r>
      <w:r w:rsidRPr="008C7124">
        <w:rPr>
          <w:rStyle w:val="Char9"/>
          <w:rFonts w:hint="cs"/>
          <w:sz w:val="20"/>
          <w:szCs w:val="20"/>
          <w:rtl/>
        </w:rPr>
        <w:t>ها</w:t>
      </w:r>
      <w:r>
        <w:rPr>
          <w:rStyle w:val="Char9"/>
          <w:rFonts w:hint="cs"/>
          <w:sz w:val="20"/>
          <w:szCs w:val="20"/>
          <w:rtl/>
        </w:rPr>
        <w:t>ی</w:t>
      </w:r>
      <w:r w:rsidRPr="008C7124">
        <w:rPr>
          <w:rStyle w:val="Char9"/>
          <w:rFonts w:hint="cs"/>
          <w:sz w:val="20"/>
          <w:szCs w:val="20"/>
          <w:rtl/>
        </w:rPr>
        <w:t>ى از قرآن</w:t>
      </w:r>
      <w:r w:rsidRPr="006E28E9">
        <w:rPr>
          <w:rFonts w:hint="cs"/>
          <w:rtl/>
        </w:rPr>
        <w:t xml:space="preserve"> </w:t>
      </w:r>
      <w:r w:rsidRPr="006E28E9">
        <w:rPr>
          <w:rFonts w:hint="cs"/>
          <w:rtl/>
          <w:lang w:bidi="ar-SY"/>
        </w:rPr>
        <w:t xml:space="preserve">[مفهوم بعض مفردات القرآن] </w:t>
      </w:r>
      <w:r w:rsidRPr="006E28E9">
        <w:rPr>
          <w:rFonts w:hint="cs"/>
          <w:rtl/>
        </w:rPr>
        <w:t>ج 6-8، ص 26-27. ومطالعة هذا الكتاب تبين أن طريقة الاستنباط التي يتبعها المؤلف تشابه إلى حد كبير طريقة جماعة الفرقانيين، غير أنها تحاول أن تكون أكثر اعتدالاً. ولاشك أن آثار الدكتور محمد الصادقي منزهة من مثل هذه الاستنباطات المتطرّفة.</w:t>
      </w:r>
    </w:p>
  </w:footnote>
  <w:footnote w:id="189">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كان </w:t>
      </w:r>
      <w:r w:rsidRPr="006E28E9">
        <w:rPr>
          <w:rStyle w:val="FootnoteReference"/>
          <w:rFonts w:hint="cs"/>
          <w:vertAlign w:val="baseline"/>
          <w:rtl/>
        </w:rPr>
        <w:t>والده الحاج الشيخ حسن شريعت وجده الحاج رضا قلي</w:t>
      </w:r>
      <w:r w:rsidRPr="006E28E9">
        <w:rPr>
          <w:rStyle w:val="FootnoteReference"/>
          <w:vertAlign w:val="baseline"/>
          <w:rtl/>
        </w:rPr>
        <w:t xml:space="preserve"> </w:t>
      </w:r>
      <w:r w:rsidRPr="006E28E9">
        <w:rPr>
          <w:rFonts w:hint="cs"/>
          <w:rtl/>
        </w:rPr>
        <w:t>من العلماء [المُعَمَّمين] والفقهاء. جاء في مجلة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نده</w:t>
      </w:r>
      <w:r w:rsidRPr="006E28E9">
        <w:rPr>
          <w:rFonts w:hint="cs"/>
          <w:rtl/>
        </w:rPr>
        <w:t>» (السنة 12، العدد 3، ص73) مقال حول «اسم شريعت سنگلجي ونسبه» جاء فيه: «اسم شريعت، ميرزا رضا قُلي واسم أبيه آية الله الحاج الشيخ حسن سنگلجي والذي كان ابن عم الشيخ فضل الله النوري. وكان الابن البكر (من الذكور) للشيخ حسن هو آغا رضا قُلي المعروف بشريعت والمشهور بها». (انتهى). ويتابع الكاتب كلامه موضحاً أن والده اختار اسم رضا قُلي لابنه بسبب محبته الصوفية لحضرة الصفا الذي كان اسمه الأصلي رضا قُلي. ولكنْ ينبغي أن نلاحظ أنه ربما يكون الشيخ حسن قد سمى ابنه رضا قلي على اسم أبيه الذي كان اسمه أيضًا رضا قلي ويبدو هذا طبيعياً أكثر. ويضيف كاتب تلك المقالة بأن لقب شريعت أطلقه عليه الحاج السيد محمد كاظم اليزدي، وكان ذلك عندما ذهب برفقة أبيه إلى النجف وأعطى كتاباً من مؤلفاته إلى المرحوم محمد كاظم اليزدي. وتابع يقول في مقالته: «رحل شريعت سنگلجي عن الدنيا في يوم الخميس 15 دي ماه 1322</w:t>
      </w:r>
      <w:r w:rsidRPr="006E28E9">
        <w:rPr>
          <w:rtl/>
        </w:rPr>
        <w:t>هـ.ش</w:t>
      </w:r>
      <w:r w:rsidRPr="006E28E9">
        <w:rPr>
          <w:rFonts w:hint="cs"/>
          <w:rtl/>
        </w:rPr>
        <w:t xml:space="preserve"> المطابق للتاسع من شهر محرم 1363هـ.ق عن عمر 53 عاماً».</w:t>
      </w:r>
    </w:p>
    <w:p w:rsidR="008C7124" w:rsidRPr="006E28E9" w:rsidRDefault="008C7124" w:rsidP="0092648A">
      <w:pPr>
        <w:pStyle w:val="FootnoteText"/>
        <w:rPr>
          <w:rStyle w:val="FootnoteReference"/>
          <w:vertAlign w:val="baseline"/>
          <w:rtl/>
        </w:rPr>
      </w:pPr>
      <w:r w:rsidRPr="006E28E9">
        <w:rPr>
          <w:rFonts w:hint="cs"/>
          <w:rtl/>
        </w:rPr>
        <w:t>أخذ شريعت الفقه عن أستاذه الشيخ عبد النبي المجتهد النوري ودرس الفلسفة على الميرزا حسن كرمانشاهي وتعلم الكلام في محضر الشيخ علي المتكلم النوري وأخذ العرفان من دروس ميرزا هاشم الإشكوري. وأقام مدة في النجف ثم عاد من جديد إلى طهران عام 1340هـ.ق بعد أن أمضى في النجف مدة 4 سنوات. كان لديه مجلس في مساء أيام الخميس في مسجد الحاج الشيخ حسن سنگلجي كان يحضره عددٌ من المريدين، وبعد مدة وجيزة بنى مسجدَ دار التبليغ الإسلامي في مكان ذلك المسجد في عبَّارَة تقي خان. وبعد هدم ذلك الحي بنى داراً للتبليغ أخرى في شارع «فرهنگ» في مدينة طهران (كُتَيِّب يحمل عنوان: «النشرة رقم 1 لدار التبليغ الإسلامي للمصلح الكبير والعلامة الشهير المرحوم آية الله الحاج شريعت سنگلجي، الناشر : محمد باقر سنگلجي وطبع في سنة 1323</w:t>
      </w:r>
      <w:r w:rsidRPr="006E28E9">
        <w:rPr>
          <w:rtl/>
        </w:rPr>
        <w:t xml:space="preserve"> هـ.ش</w:t>
      </w:r>
      <w:r w:rsidRPr="006E28E9">
        <w:rPr>
          <w:rFonts w:hint="cs"/>
          <w:rtl/>
        </w:rPr>
        <w:t>»). وعندما مات في الخامس من شهر دي 1322</w:t>
      </w:r>
      <w:r w:rsidRPr="006E28E9">
        <w:rPr>
          <w:rtl/>
        </w:rPr>
        <w:t xml:space="preserve"> هـ.ش</w:t>
      </w:r>
      <w:r w:rsidRPr="006E28E9">
        <w:rPr>
          <w:rFonts w:hint="cs"/>
          <w:rtl/>
        </w:rPr>
        <w:t xml:space="preserve"> ودفن في ذلك الحي ذاته كان قد أنهى 53 عاماً من العمر. وقد ترك ابنين اسم الأول محمد باقر واسم الثاني عبدالله. انظروا: مقدمة كتاب </w:t>
      </w:r>
      <w:r w:rsidRPr="008C7124">
        <w:rPr>
          <w:rStyle w:val="Char9"/>
          <w:rFonts w:hint="cs"/>
          <w:sz w:val="20"/>
          <w:szCs w:val="20"/>
          <w:rtl/>
        </w:rPr>
        <w:t>محو الموهوم</w:t>
      </w:r>
      <w:r w:rsidRPr="006E28E9">
        <w:rPr>
          <w:rFonts w:hint="cs"/>
          <w:rtl/>
        </w:rPr>
        <w:t xml:space="preserve"> (تأليف حسين قُلي مُستعان)، ص 3 - 7. وانظروا أيضًا: </w:t>
      </w:r>
      <w:r w:rsidRPr="008C7124">
        <w:rPr>
          <w:rStyle w:val="Char9"/>
          <w:rFonts w:hint="cs"/>
          <w:sz w:val="20"/>
          <w:szCs w:val="20"/>
          <w:rtl/>
        </w:rPr>
        <w:t>وهاب</w:t>
      </w:r>
      <w:r>
        <w:rPr>
          <w:rStyle w:val="Char9"/>
          <w:rFonts w:hint="cs"/>
          <w:sz w:val="20"/>
          <w:szCs w:val="20"/>
          <w:rtl/>
        </w:rPr>
        <w:t>ی</w:t>
      </w:r>
      <w:r w:rsidRPr="008C7124">
        <w:rPr>
          <w:rStyle w:val="Char9"/>
          <w:rFonts w:hint="cs"/>
          <w:sz w:val="20"/>
          <w:szCs w:val="20"/>
          <w:rtl/>
        </w:rPr>
        <w:t>ت ور</w:t>
      </w:r>
      <w:r>
        <w:rPr>
          <w:rStyle w:val="Char9"/>
          <w:rFonts w:hint="cs"/>
          <w:sz w:val="20"/>
          <w:szCs w:val="20"/>
          <w:rtl/>
        </w:rPr>
        <w:t>ی</w:t>
      </w:r>
      <w:r w:rsidRPr="008C7124">
        <w:rPr>
          <w:rStyle w:val="Char9"/>
          <w:rFonts w:hint="cs"/>
          <w:sz w:val="20"/>
          <w:szCs w:val="20"/>
          <w:rtl/>
        </w:rPr>
        <w:t>شه</w:t>
      </w:r>
      <w:r w:rsidRPr="006E28E9">
        <w:rPr>
          <w:rFonts w:ascii="Times New Roman" w:hAnsi="Times New Roman" w:cs="Times New Roman" w:hint="cs"/>
          <w:b/>
          <w:bCs/>
          <w:rtl/>
        </w:rPr>
        <w:t>‌</w:t>
      </w:r>
      <w:r w:rsidRPr="008C7124">
        <w:rPr>
          <w:rStyle w:val="Char9"/>
          <w:rFonts w:hint="cs"/>
          <w:sz w:val="20"/>
          <w:szCs w:val="20"/>
          <w:rtl/>
        </w:rPr>
        <w:t>ها</w:t>
      </w:r>
      <w:r>
        <w:rPr>
          <w:rStyle w:val="Char9"/>
          <w:rFonts w:hint="cs"/>
          <w:sz w:val="20"/>
          <w:szCs w:val="20"/>
          <w:rtl/>
        </w:rPr>
        <w:t>ی</w:t>
      </w:r>
      <w:r w:rsidRPr="008C7124">
        <w:rPr>
          <w:rStyle w:val="Char9"/>
          <w:rFonts w:hint="cs"/>
          <w:sz w:val="20"/>
          <w:szCs w:val="20"/>
          <w:rtl/>
        </w:rPr>
        <w:t xml:space="preserve"> آن</w:t>
      </w:r>
      <w:r w:rsidRPr="006E28E9">
        <w:rPr>
          <w:rFonts w:hint="cs"/>
          <w:rtl/>
        </w:rPr>
        <w:t xml:space="preserve"> [الوهابية وجذورها]، ص 159- 176.</w:t>
      </w:r>
    </w:p>
  </w:footnote>
  <w:footnote w:id="19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تاريخ 20 شهريور </w:t>
      </w:r>
      <w:r w:rsidRPr="006E28E9">
        <w:rPr>
          <w:rFonts w:hint="cs"/>
          <w:rtl/>
        </w:rPr>
        <w:t xml:space="preserve">الذي يشير إليه المؤلف (بشكل متكرر) </w:t>
      </w:r>
      <w:r w:rsidRPr="006E28E9">
        <w:rPr>
          <w:rStyle w:val="FootnoteReference"/>
          <w:rFonts w:hint="cs"/>
          <w:vertAlign w:val="baseline"/>
          <w:rtl/>
        </w:rPr>
        <w:t xml:space="preserve">كمرحلة تاريخية فاصلة </w:t>
      </w:r>
      <w:r w:rsidRPr="006E28E9">
        <w:rPr>
          <w:rFonts w:hint="cs"/>
          <w:rtl/>
        </w:rPr>
        <w:t>هو تاريخ تنحية</w:t>
      </w:r>
      <w:r w:rsidRPr="006E28E9">
        <w:rPr>
          <w:rtl/>
        </w:rPr>
        <w:t xml:space="preserve"> الشاه رضا خان بهلوي وإجلاس ابنه الشاب محمد رضا </w:t>
      </w:r>
      <w:r w:rsidRPr="006E28E9">
        <w:rPr>
          <w:rFonts w:hint="cs"/>
          <w:rtl/>
        </w:rPr>
        <w:t xml:space="preserve">بهلوي </w:t>
      </w:r>
      <w:r w:rsidRPr="006E28E9">
        <w:rPr>
          <w:rtl/>
        </w:rPr>
        <w:t xml:space="preserve">على عرش إيران </w:t>
      </w:r>
      <w:r w:rsidRPr="006E28E9">
        <w:rPr>
          <w:rFonts w:hint="cs"/>
          <w:rtl/>
        </w:rPr>
        <w:t xml:space="preserve">بدلًا منه، وذلك سنة </w:t>
      </w:r>
      <w:r w:rsidRPr="006E28E9">
        <w:rPr>
          <w:rtl/>
        </w:rPr>
        <w:t>1320هـ.ش [1941م]، وأعقب ذلك إطلاق سراح جميع السجناء السياسيين والسماح بالاجتماعات الدينية وسائر التجمُّعات ورفع الرقابة والحظر عن الصحف والكتب</w:t>
      </w:r>
      <w:r w:rsidRPr="006E28E9">
        <w:rPr>
          <w:rFonts w:hint="cs"/>
          <w:rtl/>
        </w:rPr>
        <w:t xml:space="preserve"> والمجلات.</w:t>
      </w:r>
      <w:r w:rsidRPr="006E28E9">
        <w:rPr>
          <w:rtl/>
        </w:rPr>
        <w:t xml:space="preserve"> وبعد شهريور 1320هـ.ش نشطت في إيران </w:t>
      </w:r>
      <w:r w:rsidRPr="006E28E9">
        <w:rPr>
          <w:rFonts w:hint="cs"/>
          <w:rtl/>
        </w:rPr>
        <w:t>ال</w:t>
      </w:r>
      <w:r w:rsidRPr="006E28E9">
        <w:rPr>
          <w:rtl/>
        </w:rPr>
        <w:t xml:space="preserve">أحزاب </w:t>
      </w:r>
      <w:r w:rsidRPr="006E28E9">
        <w:rPr>
          <w:rFonts w:hint="cs"/>
          <w:rtl/>
        </w:rPr>
        <w:t>ال</w:t>
      </w:r>
      <w:r w:rsidRPr="006E28E9">
        <w:rPr>
          <w:rtl/>
        </w:rPr>
        <w:t xml:space="preserve">سياسية </w:t>
      </w:r>
      <w:r w:rsidRPr="006E28E9">
        <w:rPr>
          <w:rFonts w:hint="cs"/>
          <w:rtl/>
        </w:rPr>
        <w:t>التي كان أشهرها</w:t>
      </w:r>
      <w:r w:rsidRPr="006E28E9">
        <w:rPr>
          <w:rtl/>
        </w:rPr>
        <w:t xml:space="preserve"> حزب تودة، </w:t>
      </w:r>
      <w:r w:rsidRPr="006E28E9">
        <w:rPr>
          <w:rFonts w:hint="cs"/>
          <w:rtl/>
        </w:rPr>
        <w:t>و</w:t>
      </w:r>
      <w:r w:rsidRPr="006E28E9">
        <w:rPr>
          <w:rtl/>
        </w:rPr>
        <w:t xml:space="preserve">حزب إيران، </w:t>
      </w:r>
      <w:r w:rsidRPr="006E28E9">
        <w:rPr>
          <w:rFonts w:hint="cs"/>
          <w:rtl/>
        </w:rPr>
        <w:t>و</w:t>
      </w:r>
      <w:r w:rsidRPr="006E28E9">
        <w:rPr>
          <w:rtl/>
        </w:rPr>
        <w:t xml:space="preserve">حزب العدالة، </w:t>
      </w:r>
      <w:r w:rsidRPr="006E28E9">
        <w:rPr>
          <w:rFonts w:hint="cs"/>
          <w:rtl/>
        </w:rPr>
        <w:t>و</w:t>
      </w:r>
      <w:r w:rsidRPr="006E28E9">
        <w:rPr>
          <w:rtl/>
        </w:rPr>
        <w:t>حزب الاتحاد الوطني، وحزب الوطن.</w:t>
      </w:r>
      <w:r w:rsidRPr="006E28E9">
        <w:rPr>
          <w:rFonts w:hint="cs"/>
          <w:rtl/>
        </w:rPr>
        <w:t xml:space="preserve"> (انظر: د. رضا شعباني، </w:t>
      </w:r>
      <w:r w:rsidRPr="006E28E9">
        <w:rPr>
          <w:rFonts w:hint="cs"/>
          <w:b/>
          <w:bCs/>
          <w:rtl/>
        </w:rPr>
        <w:t>المنتخب من تاريخ ايران</w:t>
      </w:r>
      <w:r w:rsidRPr="006E28E9">
        <w:rPr>
          <w:rFonts w:hint="cs"/>
          <w:rtl/>
        </w:rPr>
        <w:t>، صص 479 - 481). (المُتَرْجِمُ)</w:t>
      </w:r>
    </w:p>
  </w:footnote>
  <w:footnote w:id="19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ذكر ذلك جناب السيد موجاني نقلاً عن الدكتور </w:t>
      </w:r>
      <w:r w:rsidRPr="006E28E9">
        <w:rPr>
          <w:rtl/>
        </w:rPr>
        <w:t xml:space="preserve">محمد جواد </w:t>
      </w:r>
      <w:r w:rsidRPr="006E28E9">
        <w:rPr>
          <w:rStyle w:val="FootnoteReference"/>
          <w:rFonts w:hint="cs"/>
          <w:vertAlign w:val="baseline"/>
          <w:rtl/>
        </w:rPr>
        <w:t>مشكور.</w:t>
      </w:r>
    </w:p>
  </w:footnote>
  <w:footnote w:id="19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كانت كتاباته ودروسه تطبع وتنشر سنة 1314 هـ.ش تحت عنوان «</w:t>
      </w:r>
      <w:r w:rsidRPr="006E28E9">
        <w:rPr>
          <w:rStyle w:val="FootnoteReference"/>
          <w:rFonts w:hint="cs"/>
          <w:b/>
          <w:bCs/>
          <w:vertAlign w:val="baseline"/>
          <w:rtl/>
        </w:rPr>
        <w:t>بيانات المصلح الكبير</w:t>
      </w:r>
      <w:r w:rsidRPr="006E28E9">
        <w:rPr>
          <w:rStyle w:val="FootnoteReference"/>
          <w:rFonts w:hint="cs"/>
          <w:vertAlign w:val="baseline"/>
          <w:rtl/>
        </w:rPr>
        <w:t xml:space="preserve">». </w:t>
      </w:r>
    </w:p>
  </w:footnote>
  <w:footnote w:id="193">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 [الإمام الخميني]، </w:t>
      </w:r>
      <w:r w:rsidRPr="006E28E9">
        <w:rPr>
          <w:rStyle w:val="FootnoteReference"/>
          <w:rFonts w:hint="cs"/>
          <w:b/>
          <w:bCs/>
          <w:vertAlign w:val="baseline"/>
          <w:rtl/>
        </w:rPr>
        <w:t>كشف الأسرار</w:t>
      </w:r>
      <w:r w:rsidRPr="006E28E9">
        <w:rPr>
          <w:rStyle w:val="FootnoteReference"/>
          <w:rFonts w:hint="cs"/>
          <w:vertAlign w:val="baseline"/>
          <w:rtl/>
        </w:rPr>
        <w:t>، ص 333. كانت إحدى مؤلفات شريعت سنگلجي كتاب «</w:t>
      </w:r>
      <w:r w:rsidRPr="006E28E9">
        <w:rPr>
          <w:rStyle w:val="FootnoteReference"/>
          <w:rFonts w:hint="cs"/>
          <w:b/>
          <w:bCs/>
          <w:vertAlign w:val="baseline"/>
          <w:rtl/>
        </w:rPr>
        <w:t>اسلام ورجعت</w:t>
      </w:r>
      <w:r w:rsidRPr="006E28E9">
        <w:rPr>
          <w:rStyle w:val="FootnoteReference"/>
          <w:rFonts w:hint="cs"/>
          <w:vertAlign w:val="baseline"/>
          <w:rtl/>
        </w:rPr>
        <w:t>» [أي الإسلام والرجعة] الذي ك</w:t>
      </w:r>
      <w:r w:rsidRPr="006E28E9">
        <w:rPr>
          <w:rFonts w:hint="cs"/>
          <w:rtl/>
        </w:rPr>
        <w:t>ُ</w:t>
      </w:r>
      <w:r w:rsidRPr="006E28E9">
        <w:rPr>
          <w:rStyle w:val="FootnoteReference"/>
          <w:rFonts w:hint="cs"/>
          <w:vertAlign w:val="baseline"/>
          <w:rtl/>
        </w:rPr>
        <w:t>ت</w:t>
      </w:r>
      <w:r w:rsidRPr="006E28E9">
        <w:rPr>
          <w:rFonts w:hint="cs"/>
          <w:rtl/>
        </w:rPr>
        <w:t>ِ</w:t>
      </w:r>
      <w:r w:rsidRPr="006E28E9">
        <w:rPr>
          <w:rStyle w:val="FootnoteReference"/>
          <w:rFonts w:hint="cs"/>
          <w:vertAlign w:val="baseline"/>
          <w:rtl/>
        </w:rPr>
        <w:t>ب</w:t>
      </w:r>
      <w:r w:rsidRPr="006E28E9">
        <w:rPr>
          <w:rFonts w:hint="cs"/>
          <w:rtl/>
        </w:rPr>
        <w:t>َ</w:t>
      </w:r>
      <w:r w:rsidRPr="006E28E9">
        <w:rPr>
          <w:rStyle w:val="FootnoteReference"/>
          <w:rFonts w:hint="cs"/>
          <w:vertAlign w:val="baseline"/>
          <w:rtl/>
        </w:rPr>
        <w:t xml:space="preserve">ت </w:t>
      </w:r>
      <w:r w:rsidRPr="006E28E9">
        <w:rPr>
          <w:rFonts w:hint="cs"/>
          <w:rtl/>
        </w:rPr>
        <w:t xml:space="preserve">عدَّة </w:t>
      </w:r>
      <w:r w:rsidRPr="006E28E9">
        <w:rPr>
          <w:rStyle w:val="FootnoteReference"/>
          <w:rFonts w:hint="cs"/>
          <w:vertAlign w:val="baseline"/>
          <w:rtl/>
        </w:rPr>
        <w:t>ردود عليه، ولكنها م</w:t>
      </w:r>
      <w:r w:rsidRPr="006E28E9">
        <w:rPr>
          <w:rFonts w:hint="cs"/>
          <w:rtl/>
        </w:rPr>
        <w:t>ُ</w:t>
      </w:r>
      <w:r w:rsidRPr="006E28E9">
        <w:rPr>
          <w:rStyle w:val="FootnoteReference"/>
          <w:rFonts w:hint="cs"/>
          <w:vertAlign w:val="baseline"/>
          <w:rtl/>
        </w:rPr>
        <w:t xml:space="preserve">نِعَت من الطباعة، </w:t>
      </w:r>
      <w:r w:rsidRPr="006E28E9">
        <w:rPr>
          <w:rFonts w:hint="cs"/>
          <w:rtl/>
        </w:rPr>
        <w:t>و</w:t>
      </w:r>
      <w:r w:rsidRPr="006E28E9">
        <w:rPr>
          <w:rStyle w:val="FootnoteReference"/>
          <w:rFonts w:hint="cs"/>
          <w:vertAlign w:val="baseline"/>
          <w:rtl/>
        </w:rPr>
        <w:t xml:space="preserve">يشير الإمام </w:t>
      </w:r>
      <w:r w:rsidRPr="006E28E9">
        <w:rPr>
          <w:rFonts w:hint="cs"/>
          <w:rtl/>
        </w:rPr>
        <w:t xml:space="preserve">الخميني </w:t>
      </w:r>
      <w:r w:rsidRPr="006E28E9">
        <w:rPr>
          <w:rStyle w:val="FootnoteReference"/>
          <w:rFonts w:hint="cs"/>
          <w:vertAlign w:val="baseline"/>
          <w:rtl/>
        </w:rPr>
        <w:t xml:space="preserve">إلى هذا الموضوع. </w:t>
      </w:r>
      <w:r w:rsidRPr="006E28E9">
        <w:rPr>
          <w:rFonts w:hint="cs"/>
          <w:rtl/>
        </w:rPr>
        <w:t xml:space="preserve">هذا </w:t>
      </w:r>
      <w:r w:rsidRPr="006E28E9">
        <w:rPr>
          <w:rStyle w:val="FootnoteReference"/>
          <w:rFonts w:hint="cs"/>
          <w:vertAlign w:val="baseline"/>
          <w:rtl/>
        </w:rPr>
        <w:t>ولم ي</w:t>
      </w:r>
      <w:r w:rsidRPr="006E28E9">
        <w:rPr>
          <w:rFonts w:hint="cs"/>
          <w:rtl/>
        </w:rPr>
        <w:t>كن</w:t>
      </w:r>
      <w:r w:rsidRPr="006E28E9">
        <w:rPr>
          <w:rStyle w:val="FootnoteReference"/>
          <w:rFonts w:hint="cs"/>
          <w:vertAlign w:val="baseline"/>
          <w:rtl/>
        </w:rPr>
        <w:t xml:space="preserve"> المرحوم</w:t>
      </w:r>
      <w:r w:rsidRPr="006E28E9">
        <w:rPr>
          <w:rFonts w:hint="cs"/>
          <w:rtl/>
        </w:rPr>
        <w:t>ُ</w:t>
      </w:r>
      <w:r w:rsidRPr="006E28E9">
        <w:rPr>
          <w:rStyle w:val="FootnoteReference"/>
          <w:rFonts w:hint="cs"/>
          <w:vertAlign w:val="baseline"/>
          <w:rtl/>
        </w:rPr>
        <w:t xml:space="preserve"> الحاج الشيخ</w:t>
      </w:r>
      <w:r w:rsidRPr="006E28E9">
        <w:rPr>
          <w:rFonts w:hint="cs"/>
          <w:rtl/>
        </w:rPr>
        <w:t>ُ</w:t>
      </w:r>
      <w:r w:rsidRPr="006E28E9">
        <w:rPr>
          <w:rStyle w:val="FootnoteReference"/>
          <w:rFonts w:hint="cs"/>
          <w:vertAlign w:val="baseline"/>
          <w:rtl/>
        </w:rPr>
        <w:t xml:space="preserve"> عبد</w:t>
      </w:r>
      <w:r w:rsidRPr="006E28E9">
        <w:rPr>
          <w:rFonts w:hint="cs"/>
          <w:rtl/>
        </w:rPr>
        <w:t>ُ</w:t>
      </w:r>
      <w:r w:rsidRPr="006E28E9">
        <w:rPr>
          <w:rStyle w:val="FootnoteReference"/>
          <w:rFonts w:hint="cs"/>
          <w:vertAlign w:val="baseline"/>
          <w:rtl/>
        </w:rPr>
        <w:t xml:space="preserve"> الكريم الحائري مُسْتعَدّاً لتكفير الشيخ شريعت</w:t>
      </w:r>
      <w:r w:rsidRPr="006E28E9">
        <w:rPr>
          <w:rFonts w:hint="cs"/>
          <w:rtl/>
        </w:rPr>
        <w:t>َ</w:t>
      </w:r>
      <w:r w:rsidRPr="006E28E9">
        <w:rPr>
          <w:rStyle w:val="FootnoteReference"/>
          <w:rFonts w:hint="cs"/>
          <w:vertAlign w:val="baseline"/>
          <w:rtl/>
        </w:rPr>
        <w:t xml:space="preserve"> سنگلجي بسبب إنكاره للرجعة، رغم اعتقاد الشيخ الحائري بها لكثرة الأخبار الواردة بشأنها، ولكنه لم يكن يعتبرها من أصول الدين ولا من أصول المذهب</w:t>
      </w:r>
      <w:r w:rsidRPr="006E28E9">
        <w:rPr>
          <w:rFonts w:hint="cs"/>
          <w:rtl/>
        </w:rPr>
        <w:t>،</w:t>
      </w:r>
      <w:r w:rsidRPr="006E28E9">
        <w:rPr>
          <w:rStyle w:val="FootnoteReference"/>
          <w:rFonts w:hint="cs"/>
          <w:vertAlign w:val="baseline"/>
          <w:rtl/>
        </w:rPr>
        <w:t xml:space="preserve"> وق</w:t>
      </w:r>
      <w:r w:rsidRPr="006E28E9">
        <w:rPr>
          <w:rFonts w:hint="cs"/>
          <w:rtl/>
        </w:rPr>
        <w:t>د قال</w:t>
      </w:r>
      <w:r w:rsidRPr="006E28E9">
        <w:rPr>
          <w:rStyle w:val="FootnoteReference"/>
          <w:rFonts w:hint="cs"/>
          <w:vertAlign w:val="baseline"/>
          <w:rtl/>
        </w:rPr>
        <w:t>: «لو فرضنا أن شخصاً لم يؤمن بالرجعة فإنه لا ي</w:t>
      </w:r>
      <w:r w:rsidRPr="006E28E9">
        <w:rPr>
          <w:rFonts w:hint="cs"/>
          <w:rtl/>
        </w:rPr>
        <w:t>ُ</w:t>
      </w:r>
      <w:r w:rsidRPr="006E28E9">
        <w:rPr>
          <w:rStyle w:val="FootnoteReference"/>
          <w:rFonts w:hint="cs"/>
          <w:vertAlign w:val="baseline"/>
          <w:rtl/>
        </w:rPr>
        <w:t>عْتَبَر بسبب ذلك خارجًا عن الملة أو عن المذهب». ولكنه كان يعتبر أن طرح مثل هذه المباحث لا يفيد إلا في إيجاد «الفرقة بين المسلمين وإيقاع عداوة مضرة بينهم». جاء نص السؤال والجواب الآتي (الذي طرحه أحد طلاب العلوم الدينية ا</w:t>
      </w:r>
      <w:r w:rsidRPr="006E28E9">
        <w:rPr>
          <w:rFonts w:hint="cs"/>
          <w:rtl/>
        </w:rPr>
        <w:t>لمثقفين</w:t>
      </w:r>
      <w:r w:rsidRPr="006E28E9">
        <w:rPr>
          <w:rStyle w:val="FootnoteReference"/>
          <w:rFonts w:hint="cs"/>
          <w:vertAlign w:val="baseline"/>
          <w:rtl/>
        </w:rPr>
        <w:t xml:space="preserve"> المتنور</w:t>
      </w:r>
      <w:r w:rsidRPr="006E28E9">
        <w:rPr>
          <w:rFonts w:hint="cs"/>
          <w:rtl/>
        </w:rPr>
        <w:t>ين</w:t>
      </w:r>
      <w:r w:rsidRPr="006E28E9">
        <w:rPr>
          <w:rStyle w:val="FootnoteReference"/>
          <w:rFonts w:hint="cs"/>
          <w:vertAlign w:val="baseline"/>
          <w:rtl/>
        </w:rPr>
        <w:t xml:space="preserve"> في ذلك الحين وربما كان الهدف منه الدفاع عن شريعت سنگلجي) في مجلة </w:t>
      </w:r>
      <w:r w:rsidRPr="008C7124">
        <w:rPr>
          <w:rStyle w:val="Char9"/>
          <w:rFonts w:hint="cs"/>
          <w:sz w:val="20"/>
          <w:szCs w:val="20"/>
          <w:rtl/>
        </w:rPr>
        <w:t>هما</w:t>
      </w:r>
      <w:r>
        <w:rPr>
          <w:rStyle w:val="Char9"/>
          <w:rFonts w:hint="cs"/>
          <w:sz w:val="20"/>
          <w:szCs w:val="20"/>
          <w:rtl/>
        </w:rPr>
        <w:t>ی</w:t>
      </w:r>
      <w:r w:rsidRPr="008C7124">
        <w:rPr>
          <w:rStyle w:val="Char9"/>
          <w:rFonts w:hint="cs"/>
          <w:sz w:val="20"/>
          <w:szCs w:val="20"/>
          <w:rtl/>
        </w:rPr>
        <w:t>ون</w:t>
      </w:r>
      <w:r w:rsidRPr="006E28E9">
        <w:rPr>
          <w:rStyle w:val="FootnoteReference"/>
          <w:rFonts w:hint="cs"/>
          <w:vertAlign w:val="baseline"/>
          <w:rtl/>
        </w:rPr>
        <w:t xml:space="preserve">، العدد الخامس الصادر في شهر 1313 هـ.ش (شوال 1353هـ.ق)، ص 2: </w:t>
      </w:r>
    </w:p>
    <w:p w:rsidR="008C7124" w:rsidRPr="006E28E9" w:rsidRDefault="008C7124" w:rsidP="00E4364C">
      <w:pPr>
        <w:pStyle w:val="FootnoteText"/>
        <w:ind w:firstLine="0"/>
        <w:rPr>
          <w:rStyle w:val="FootnoteReference"/>
          <w:vertAlign w:val="baseline"/>
          <w:rtl/>
        </w:rPr>
      </w:pPr>
      <w:r w:rsidRPr="006E28E9">
        <w:rPr>
          <w:rFonts w:hint="cs"/>
          <w:rtl/>
        </w:rPr>
        <w:t>ال</w:t>
      </w:r>
      <w:r w:rsidRPr="006E28E9">
        <w:rPr>
          <w:rStyle w:val="FootnoteReference"/>
          <w:rFonts w:hint="cs"/>
          <w:vertAlign w:val="baseline"/>
          <w:rtl/>
        </w:rPr>
        <w:t>س</w:t>
      </w:r>
      <w:r w:rsidRPr="006E28E9">
        <w:rPr>
          <w:rFonts w:hint="cs"/>
          <w:rtl/>
        </w:rPr>
        <w:t>ؤال</w:t>
      </w:r>
      <w:r w:rsidRPr="006E28E9">
        <w:rPr>
          <w:rStyle w:val="FootnoteReference"/>
          <w:rFonts w:hint="cs"/>
          <w:vertAlign w:val="baseline"/>
          <w:rtl/>
        </w:rPr>
        <w:t xml:space="preserve">: </w:t>
      </w:r>
      <w:r w:rsidRPr="006E28E9">
        <w:rPr>
          <w:rFonts w:hint="cs"/>
          <w:rtl/>
        </w:rPr>
        <w:t xml:space="preserve">إلى </w:t>
      </w:r>
      <w:r w:rsidRPr="006E28E9">
        <w:rPr>
          <w:rStyle w:val="FootnoteReference"/>
          <w:rFonts w:hint="cs"/>
          <w:vertAlign w:val="baseline"/>
          <w:rtl/>
        </w:rPr>
        <w:t xml:space="preserve">المحضر المبارك </w:t>
      </w:r>
      <w:r w:rsidRPr="006E28E9">
        <w:rPr>
          <w:rFonts w:hint="cs"/>
          <w:rtl/>
        </w:rPr>
        <w:t>ل</w:t>
      </w:r>
      <w:r w:rsidRPr="006E28E9">
        <w:rPr>
          <w:rStyle w:val="FootnoteReference"/>
          <w:rFonts w:hint="cs"/>
          <w:vertAlign w:val="baseline"/>
          <w:rtl/>
        </w:rPr>
        <w:t>حضرة آية الله الحائري - م</w:t>
      </w:r>
      <w:r w:rsidRPr="006E28E9">
        <w:rPr>
          <w:rFonts w:hint="cs"/>
          <w:rtl/>
        </w:rPr>
        <w:t>ُ</w:t>
      </w:r>
      <w:r w:rsidRPr="006E28E9">
        <w:rPr>
          <w:rStyle w:val="FootnoteReference"/>
          <w:rFonts w:hint="cs"/>
          <w:vertAlign w:val="baseline"/>
          <w:rtl/>
        </w:rPr>
        <w:t>د</w:t>
      </w:r>
      <w:r w:rsidRPr="006E28E9">
        <w:rPr>
          <w:rFonts w:hint="cs"/>
          <w:rtl/>
        </w:rPr>
        <w:t>َّ</w:t>
      </w:r>
      <w:r w:rsidRPr="006E28E9">
        <w:rPr>
          <w:rStyle w:val="FootnoteReference"/>
          <w:rFonts w:hint="cs"/>
          <w:vertAlign w:val="baseline"/>
          <w:rtl/>
        </w:rPr>
        <w:t xml:space="preserve"> ظ</w:t>
      </w:r>
      <w:r w:rsidRPr="006E28E9">
        <w:rPr>
          <w:rFonts w:hint="cs"/>
          <w:rtl/>
        </w:rPr>
        <w:t>ِ</w:t>
      </w:r>
      <w:r w:rsidRPr="006E28E9">
        <w:rPr>
          <w:rStyle w:val="FootnoteReference"/>
          <w:rFonts w:hint="cs"/>
          <w:vertAlign w:val="baseline"/>
          <w:rtl/>
        </w:rPr>
        <w:t>ل</w:t>
      </w:r>
      <w:r w:rsidRPr="006E28E9">
        <w:rPr>
          <w:rFonts w:hint="cs"/>
          <w:rtl/>
        </w:rPr>
        <w:t>ُّ</w:t>
      </w:r>
      <w:r w:rsidRPr="006E28E9">
        <w:rPr>
          <w:rStyle w:val="FootnoteReference"/>
          <w:rFonts w:hint="cs"/>
          <w:vertAlign w:val="baseline"/>
          <w:rtl/>
        </w:rPr>
        <w:t>ه العالي-</w:t>
      </w:r>
      <w:r w:rsidRPr="006E28E9">
        <w:rPr>
          <w:rFonts w:hint="cs"/>
          <w:rtl/>
        </w:rPr>
        <w:t>:</w:t>
      </w:r>
      <w:r w:rsidRPr="006E28E9">
        <w:rPr>
          <w:rStyle w:val="FootnoteReference"/>
          <w:rFonts w:hint="cs"/>
          <w:vertAlign w:val="baseline"/>
          <w:rtl/>
        </w:rPr>
        <w:t xml:space="preserve"> عذرًا لتصديعي رأسكم</w:t>
      </w:r>
      <w:r w:rsidRPr="006E28E9">
        <w:rPr>
          <w:rFonts w:hint="cs"/>
          <w:rtl/>
        </w:rPr>
        <w:t xml:space="preserve">، أحتاج إلى سؤالكم </w:t>
      </w:r>
      <w:r w:rsidRPr="006E28E9">
        <w:rPr>
          <w:rStyle w:val="FootnoteReference"/>
          <w:rFonts w:hint="cs"/>
          <w:vertAlign w:val="baseline"/>
          <w:rtl/>
        </w:rPr>
        <w:t>حول موضوع «الرجعة الجسماني</w:t>
      </w:r>
      <w:r w:rsidRPr="006E28E9">
        <w:rPr>
          <w:rFonts w:hint="cs"/>
          <w:rtl/>
        </w:rPr>
        <w:t>ة»</w:t>
      </w:r>
      <w:r w:rsidRPr="006E28E9">
        <w:rPr>
          <w:rStyle w:val="FootnoteReference"/>
          <w:rFonts w:hint="cs"/>
          <w:vertAlign w:val="baseline"/>
          <w:rtl/>
        </w:rPr>
        <w:t xml:space="preserve"> المذكورة في الطريقة الإمامية الشريفة والمذهب الجعفري الم</w:t>
      </w:r>
      <w:r w:rsidRPr="006E28E9">
        <w:rPr>
          <w:rFonts w:hint="cs"/>
          <w:rtl/>
        </w:rPr>
        <w:t>ُ</w:t>
      </w:r>
      <w:r w:rsidRPr="006E28E9">
        <w:rPr>
          <w:rStyle w:val="FootnoteReference"/>
          <w:rFonts w:hint="cs"/>
          <w:vertAlign w:val="baseline"/>
          <w:rtl/>
        </w:rPr>
        <w:t>قد</w:t>
      </w:r>
      <w:r w:rsidRPr="006E28E9">
        <w:rPr>
          <w:rFonts w:hint="cs"/>
          <w:rtl/>
        </w:rPr>
        <w:t>َّ</w:t>
      </w:r>
      <w:r w:rsidRPr="006E28E9">
        <w:rPr>
          <w:rStyle w:val="FootnoteReference"/>
          <w:rFonts w:hint="cs"/>
          <w:vertAlign w:val="baseline"/>
          <w:rtl/>
        </w:rPr>
        <w:t>س. ما هي عقيدتكم في ذلك وما هو الذي يستنبط من الكتاب والسنة في هذا الصدد؟</w:t>
      </w:r>
    </w:p>
    <w:p w:rsidR="008C7124" w:rsidRPr="006E28E9" w:rsidRDefault="008C7124" w:rsidP="00E4364C">
      <w:pPr>
        <w:pStyle w:val="FootnoteText"/>
        <w:ind w:firstLine="0"/>
        <w:rPr>
          <w:rStyle w:val="FootnoteReference"/>
          <w:vertAlign w:val="baseline"/>
          <w:rtl/>
        </w:rPr>
      </w:pPr>
      <w:r w:rsidRPr="006E28E9">
        <w:rPr>
          <w:rStyle w:val="FootnoteReference"/>
          <w:rFonts w:hint="cs"/>
          <w:vertAlign w:val="baseline"/>
          <w:rtl/>
        </w:rPr>
        <w:t>الجواب: «بسم الله الرحمن الرحيم، يعتقد هذا الأحقر بالرجعة على نحو الإجمال نظرًا إلى كثيرة الأخبار الواردة بشأنها، ولكن هذا الأمر ليس لا من أصول الدين ولا من أصول المذهب، ولو فرضنا أن شخصًا لم يعتقد بالرجعة فلا ي</w:t>
      </w:r>
      <w:r w:rsidRPr="006E28E9">
        <w:rPr>
          <w:rFonts w:hint="cs"/>
          <w:rtl/>
        </w:rPr>
        <w:t>ُ</w:t>
      </w:r>
      <w:r w:rsidRPr="006E28E9">
        <w:rPr>
          <w:rStyle w:val="FootnoteReference"/>
          <w:rFonts w:hint="cs"/>
          <w:vertAlign w:val="baseline"/>
          <w:rtl/>
        </w:rPr>
        <w:t xml:space="preserve">عَدُّ بسبب ذلك خارجًا عن الدين أو </w:t>
      </w:r>
      <w:r w:rsidRPr="006E28E9">
        <w:rPr>
          <w:rFonts w:hint="cs"/>
          <w:rtl/>
        </w:rPr>
        <w:t xml:space="preserve">عن </w:t>
      </w:r>
      <w:r w:rsidRPr="006E28E9">
        <w:rPr>
          <w:rStyle w:val="FootnoteReference"/>
          <w:rFonts w:hint="cs"/>
          <w:vertAlign w:val="baseline"/>
          <w:rtl/>
        </w:rPr>
        <w:t>المذهب</w:t>
      </w:r>
      <w:r w:rsidRPr="006E28E9">
        <w:rPr>
          <w:rFonts w:hint="cs"/>
          <w:rtl/>
        </w:rPr>
        <w:t>،</w:t>
      </w:r>
      <w:r w:rsidRPr="006E28E9">
        <w:rPr>
          <w:rStyle w:val="FootnoteReference"/>
          <w:rFonts w:hint="cs"/>
          <w:vertAlign w:val="baseline"/>
          <w:rtl/>
        </w:rPr>
        <w:t xml:space="preserve"> كما أن الرجعة ليست من المسائل العلمية التي يجب على الأفراد المكلفين </w:t>
      </w:r>
      <w:r w:rsidRPr="006E28E9">
        <w:rPr>
          <w:rFonts w:hint="cs"/>
          <w:rtl/>
        </w:rPr>
        <w:t xml:space="preserve">أن </w:t>
      </w:r>
      <w:r w:rsidRPr="006E28E9">
        <w:rPr>
          <w:rStyle w:val="FootnoteReference"/>
          <w:rFonts w:hint="cs"/>
          <w:vertAlign w:val="baseline"/>
          <w:rtl/>
        </w:rPr>
        <w:t>يكتسبوا العلم بها اجتهادًا أو تقليدًا. وفي مثل هذا الزمن لا بد من حفظ دين الناس بنحو آخر، والبحث والنقاش في مثل هذه الموضوعات لا يفيد سوى في تفرقة كلمة المسلمين وإيجاد عداوة مضرة بينه</w:t>
      </w:r>
      <w:r w:rsidRPr="006E28E9">
        <w:rPr>
          <w:rStyle w:val="FootnoteReference"/>
          <w:rFonts w:hint="cs"/>
          <w:vertAlign w:val="baseline"/>
          <w:rtl/>
          <w:lang w:bidi="ar-SY"/>
        </w:rPr>
        <w:t>م»</w:t>
      </w:r>
      <w:r w:rsidRPr="006E28E9">
        <w:rPr>
          <w:rStyle w:val="FootnoteReference"/>
          <w:rFonts w:hint="cs"/>
          <w:vertAlign w:val="baseline"/>
          <w:rtl/>
        </w:rPr>
        <w:t>. الأحقر عبد الكريم الحائري. موضع خاتمه المبارك.</w:t>
      </w:r>
    </w:p>
    <w:p w:rsidR="008C7124" w:rsidRPr="006E28E9" w:rsidRDefault="008C7124" w:rsidP="00E4364C">
      <w:pPr>
        <w:pStyle w:val="FootnoteText"/>
        <w:ind w:firstLine="0"/>
        <w:rPr>
          <w:rtl/>
        </w:rPr>
      </w:pPr>
      <w:r w:rsidRPr="006E28E9">
        <w:rPr>
          <w:rStyle w:val="FootnoteReference"/>
          <w:rFonts w:hint="cs"/>
          <w:vertAlign w:val="baseline"/>
          <w:rtl/>
        </w:rPr>
        <w:t>وانظروا أيضًا: مذكرات السيد «</w:t>
      </w:r>
      <w:r w:rsidRPr="006E28E9">
        <w:rPr>
          <w:rFonts w:hint="cs"/>
          <w:rtl/>
          <w:lang w:bidi="ar-SY"/>
        </w:rPr>
        <w:t>ب</w:t>
      </w:r>
      <w:r w:rsidRPr="006E28E9">
        <w:rPr>
          <w:rStyle w:val="FootnoteReference"/>
          <w:rFonts w:hint="cs"/>
          <w:vertAlign w:val="baseline"/>
          <w:rtl/>
        </w:rPr>
        <w:t>ُدَلَاء» في</w:t>
      </w:r>
      <w:r w:rsidRPr="006E28E9">
        <w:rPr>
          <w:rFonts w:hint="cs"/>
          <w:rtl/>
        </w:rPr>
        <w:t xml:space="preserve"> كتاب</w:t>
      </w:r>
      <w:r w:rsidRPr="006E28E9">
        <w:rPr>
          <w:rStyle w:val="FootnoteReference"/>
          <w:rFonts w:hint="cs"/>
          <w:vertAlign w:val="baseline"/>
          <w:rtl/>
        </w:rPr>
        <w:t xml:space="preserve">: </w:t>
      </w:r>
      <w:r w:rsidRPr="008C7124">
        <w:rPr>
          <w:rStyle w:val="Char9"/>
          <w:rFonts w:hint="cs"/>
          <w:sz w:val="20"/>
          <w:szCs w:val="20"/>
          <w:rtl/>
        </w:rPr>
        <w:t>هفتاد سال</w:t>
      </w:r>
      <w:r w:rsidRPr="006E28E9">
        <w:rPr>
          <w:rStyle w:val="FootnoteReference"/>
          <w:rFonts w:hint="cs"/>
          <w:vertAlign w:val="baseline"/>
          <w:rtl/>
        </w:rPr>
        <w:t xml:space="preserve"> [سبعون عامًا]</w:t>
      </w:r>
      <w:r w:rsidRPr="006E28E9">
        <w:rPr>
          <w:rFonts w:hint="cs"/>
          <w:rtl/>
        </w:rPr>
        <w:t>،</w:t>
      </w:r>
      <w:r w:rsidRPr="006E28E9">
        <w:rPr>
          <w:rStyle w:val="FootnoteReference"/>
          <w:rFonts w:hint="cs"/>
          <w:vertAlign w:val="baseline"/>
          <w:rtl/>
        </w:rPr>
        <w:t xml:space="preserve"> ص 205-206! </w:t>
      </w:r>
    </w:p>
    <w:p w:rsidR="008C7124" w:rsidRPr="006E28E9" w:rsidRDefault="008C7124" w:rsidP="00E4364C">
      <w:pPr>
        <w:pStyle w:val="FootnoteText"/>
        <w:ind w:firstLine="0"/>
        <w:rPr>
          <w:rStyle w:val="FootnoteReference"/>
          <w:vertAlign w:val="baseline"/>
        </w:rPr>
      </w:pPr>
      <w:r w:rsidRPr="006E28E9">
        <w:rPr>
          <w:rFonts w:hint="cs"/>
          <w:rtl/>
        </w:rPr>
        <w:t xml:space="preserve">هذا وقد كان </w:t>
      </w:r>
      <w:r w:rsidRPr="006E28E9">
        <w:rPr>
          <w:rStyle w:val="FootnoteReference"/>
          <w:rFonts w:hint="cs"/>
          <w:vertAlign w:val="baseline"/>
          <w:rtl/>
        </w:rPr>
        <w:t>طرح الأسئلة والشبهات حول الرجعة، سببًا في تأليف كتب عديدة حول هذا الموضوع في العشرين</w:t>
      </w:r>
      <w:r w:rsidRPr="006E28E9">
        <w:rPr>
          <w:rFonts w:hint="cs"/>
          <w:rtl/>
        </w:rPr>
        <w:t>ي</w:t>
      </w:r>
      <w:r w:rsidRPr="006E28E9">
        <w:rPr>
          <w:rStyle w:val="FootnoteReference"/>
          <w:rFonts w:hint="cs"/>
          <w:vertAlign w:val="baseline"/>
          <w:rtl/>
        </w:rPr>
        <w:t>ات</w:t>
      </w:r>
      <w:r w:rsidRPr="006E28E9">
        <w:rPr>
          <w:rFonts w:hint="cs"/>
          <w:rtl/>
        </w:rPr>
        <w:t>،</w:t>
      </w:r>
      <w:r w:rsidRPr="006E28E9">
        <w:rPr>
          <w:rStyle w:val="FootnoteReference"/>
          <w:rFonts w:hint="cs"/>
          <w:vertAlign w:val="baseline"/>
          <w:rtl/>
        </w:rPr>
        <w:t xml:space="preserve"> </w:t>
      </w:r>
      <w:r w:rsidRPr="006E28E9">
        <w:rPr>
          <w:rStyle w:val="FootnoteReference"/>
          <w:rFonts w:hint="cs"/>
          <w:vertAlign w:val="baseline"/>
          <w:rtl/>
          <w:lang w:bidi="ar-SY"/>
        </w:rPr>
        <w:t>مِنْ قِبَلِ</w:t>
      </w:r>
      <w:r w:rsidRPr="006E28E9">
        <w:rPr>
          <w:rStyle w:val="FootnoteReference"/>
          <w:rFonts w:hint="cs"/>
          <w:vertAlign w:val="baseline"/>
          <w:rtl/>
        </w:rPr>
        <w:t xml:space="preserve"> بعض العلماء. </w:t>
      </w:r>
      <w:r w:rsidRPr="006E28E9">
        <w:rPr>
          <w:rFonts w:hint="cs"/>
          <w:rtl/>
        </w:rPr>
        <w:t xml:space="preserve">منها </w:t>
      </w:r>
      <w:r w:rsidRPr="006E28E9">
        <w:rPr>
          <w:rStyle w:val="FootnoteReference"/>
          <w:rFonts w:hint="cs"/>
          <w:vertAlign w:val="baseline"/>
          <w:rtl/>
        </w:rPr>
        <w:t>على سبيل المثال: كتاب «</w:t>
      </w:r>
      <w:r w:rsidRPr="008C7124">
        <w:rPr>
          <w:rStyle w:val="Char9"/>
          <w:rFonts w:hint="cs"/>
          <w:sz w:val="20"/>
          <w:szCs w:val="20"/>
          <w:rtl/>
        </w:rPr>
        <w:t>ب</w:t>
      </w:r>
      <w:r>
        <w:rPr>
          <w:rStyle w:val="Char9"/>
          <w:rFonts w:hint="cs"/>
          <w:sz w:val="20"/>
          <w:szCs w:val="20"/>
          <w:rtl/>
        </w:rPr>
        <w:t>ی</w:t>
      </w:r>
      <w:r w:rsidRPr="008C7124">
        <w:rPr>
          <w:rStyle w:val="Char9"/>
          <w:rFonts w:hint="cs"/>
          <w:sz w:val="20"/>
          <w:szCs w:val="20"/>
          <w:rtl/>
        </w:rPr>
        <w:t>دار</w:t>
      </w:r>
      <w:r>
        <w:rPr>
          <w:rStyle w:val="Char9"/>
          <w:rFonts w:hint="cs"/>
          <w:sz w:val="20"/>
          <w:szCs w:val="20"/>
          <w:rtl/>
        </w:rPr>
        <w:t>ی</w:t>
      </w:r>
      <w:r w:rsidRPr="008C7124">
        <w:rPr>
          <w:rStyle w:val="Char9"/>
          <w:rFonts w:hint="cs"/>
          <w:sz w:val="20"/>
          <w:szCs w:val="20"/>
          <w:rtl/>
        </w:rPr>
        <w:t xml:space="preserve"> امت در اثبات رجعت</w:t>
      </w:r>
      <w:r w:rsidRPr="006E28E9">
        <w:rPr>
          <w:rStyle w:val="FootnoteReference"/>
          <w:rFonts w:hint="cs"/>
          <w:vertAlign w:val="baseline"/>
          <w:rtl/>
        </w:rPr>
        <w:t xml:space="preserve">» [إيقاظ الأمة في إثبات الرجعة]، تأليف آية الله السيد محمد مهدي الأصفهاني، ترجمة أبو القاسم سحاب، طهران، 1331 هـ.ش. </w:t>
      </w:r>
      <w:r w:rsidRPr="006E28E9">
        <w:rPr>
          <w:rFonts w:hint="cs"/>
          <w:rtl/>
        </w:rPr>
        <w:t xml:space="preserve">وكتاب </w:t>
      </w:r>
      <w:r w:rsidRPr="006E28E9">
        <w:rPr>
          <w:rStyle w:val="FootnoteReference"/>
          <w:rFonts w:hint="cs"/>
          <w:vertAlign w:val="baseline"/>
          <w:rtl/>
        </w:rPr>
        <w:t>«</w:t>
      </w:r>
      <w:r w:rsidRPr="008C7124">
        <w:rPr>
          <w:rStyle w:val="Char9"/>
          <w:rFonts w:hint="cs"/>
          <w:sz w:val="20"/>
          <w:szCs w:val="20"/>
          <w:rtl/>
        </w:rPr>
        <w:t>اسلام ورجعت</w:t>
      </w:r>
      <w:r w:rsidRPr="006E28E9">
        <w:rPr>
          <w:rStyle w:val="FootnoteReference"/>
          <w:rFonts w:hint="cs"/>
          <w:vertAlign w:val="baseline"/>
          <w:rtl/>
        </w:rPr>
        <w:t>» [الإسلام والرجعة]</w:t>
      </w:r>
      <w:r w:rsidRPr="006E28E9">
        <w:rPr>
          <w:rFonts w:hint="cs"/>
          <w:rtl/>
        </w:rPr>
        <w:t>، تأليف</w:t>
      </w:r>
      <w:r w:rsidRPr="006E28E9">
        <w:rPr>
          <w:rStyle w:val="FootnoteReference"/>
          <w:rFonts w:hint="cs"/>
          <w:vertAlign w:val="baseline"/>
          <w:rtl/>
        </w:rPr>
        <w:t xml:space="preserve"> عبد الوهاب فريد [التنكابني]، طهران، 1318 هـ.ش (</w:t>
      </w:r>
      <w:r w:rsidRPr="006E28E9">
        <w:rPr>
          <w:rFonts w:hint="cs"/>
          <w:rtl/>
        </w:rPr>
        <w:t xml:space="preserve">وهو </w:t>
      </w:r>
      <w:r w:rsidRPr="006E28E9">
        <w:rPr>
          <w:rStyle w:val="FootnoteReference"/>
          <w:rFonts w:hint="cs"/>
          <w:vertAlign w:val="baseline"/>
          <w:rtl/>
        </w:rPr>
        <w:t>كتاب أُل</w:t>
      </w:r>
      <w:r w:rsidRPr="006E28E9">
        <w:rPr>
          <w:rFonts w:hint="cs"/>
          <w:rtl/>
        </w:rPr>
        <w:t>ِّ</w:t>
      </w:r>
      <w:r w:rsidRPr="006E28E9">
        <w:rPr>
          <w:rStyle w:val="FootnoteReference"/>
          <w:rFonts w:hint="cs"/>
          <w:vertAlign w:val="baseline"/>
          <w:rtl/>
        </w:rPr>
        <w:t>ف في الرد على الرجعة و</w:t>
      </w:r>
      <w:r w:rsidRPr="006E28E9">
        <w:rPr>
          <w:rFonts w:hint="cs"/>
          <w:rtl/>
        </w:rPr>
        <w:t>ا</w:t>
      </w:r>
      <w:r w:rsidRPr="006E28E9">
        <w:rPr>
          <w:rStyle w:val="FootnoteReference"/>
          <w:rFonts w:hint="cs"/>
          <w:vertAlign w:val="baseline"/>
          <w:rtl/>
        </w:rPr>
        <w:t xml:space="preserve">تبع </w:t>
      </w:r>
      <w:r w:rsidRPr="006E28E9">
        <w:rPr>
          <w:rFonts w:hint="cs"/>
          <w:rtl/>
        </w:rPr>
        <w:t xml:space="preserve">مؤلفه فيه </w:t>
      </w:r>
      <w:r w:rsidRPr="006E28E9">
        <w:rPr>
          <w:rStyle w:val="FootnoteReference"/>
          <w:rFonts w:hint="cs"/>
          <w:vertAlign w:val="baseline"/>
          <w:rtl/>
        </w:rPr>
        <w:t>منهج التجديد الديني)</w:t>
      </w:r>
      <w:r w:rsidRPr="006E28E9">
        <w:rPr>
          <w:rFonts w:hint="cs"/>
          <w:rtl/>
        </w:rPr>
        <w:t>. وكتاب «</w:t>
      </w:r>
      <w:r w:rsidRPr="006E28E9">
        <w:rPr>
          <w:rStyle w:val="FootnoteReference"/>
          <w:rFonts w:hint="cs"/>
          <w:b/>
          <w:bCs/>
          <w:vertAlign w:val="baseline"/>
          <w:rtl/>
        </w:rPr>
        <w:t>بيان الفرقان (ج 5)، الغيبة والرجعة</w:t>
      </w:r>
      <w:r w:rsidRPr="006E28E9">
        <w:rPr>
          <w:rStyle w:val="FootnoteReference"/>
          <w:rFonts w:hint="cs"/>
          <w:vertAlign w:val="baseline"/>
          <w:rtl/>
        </w:rPr>
        <w:t xml:space="preserve">»، تأليف الحاج الشيخ مجتبى القزويني، مشهد، 1339 هـ.ش. </w:t>
      </w:r>
      <w:r w:rsidRPr="006E28E9">
        <w:rPr>
          <w:rFonts w:hint="cs"/>
          <w:rtl/>
        </w:rPr>
        <w:t>وكتاب «</w:t>
      </w:r>
      <w:r w:rsidRPr="008C7124">
        <w:rPr>
          <w:rStyle w:val="Char9"/>
          <w:rFonts w:hint="cs"/>
          <w:sz w:val="20"/>
          <w:szCs w:val="20"/>
          <w:rtl/>
        </w:rPr>
        <w:t>اثبات رجعت</w:t>
      </w:r>
      <w:r w:rsidRPr="006E28E9">
        <w:rPr>
          <w:rStyle w:val="FootnoteReference"/>
          <w:rFonts w:hint="cs"/>
          <w:vertAlign w:val="baseline"/>
          <w:rtl/>
        </w:rPr>
        <w:t>» [أي إثبات الرجعة]</w:t>
      </w:r>
      <w:r w:rsidRPr="006E28E9">
        <w:rPr>
          <w:rFonts w:hint="cs"/>
          <w:rtl/>
        </w:rPr>
        <w:t>،</w:t>
      </w:r>
      <w:r w:rsidRPr="006E28E9">
        <w:rPr>
          <w:rStyle w:val="FootnoteReference"/>
          <w:rFonts w:hint="cs"/>
          <w:vertAlign w:val="baseline"/>
          <w:rtl/>
        </w:rPr>
        <w:t xml:space="preserve"> </w:t>
      </w:r>
      <w:r w:rsidRPr="006E28E9">
        <w:rPr>
          <w:rFonts w:hint="cs"/>
          <w:rtl/>
        </w:rPr>
        <w:t>ل</w:t>
      </w:r>
      <w:r w:rsidRPr="006E28E9">
        <w:rPr>
          <w:rStyle w:val="FootnoteReference"/>
          <w:rFonts w:hint="cs"/>
          <w:vertAlign w:val="baseline"/>
          <w:rtl/>
        </w:rPr>
        <w:t>لسيد أ</w:t>
      </w:r>
      <w:r w:rsidRPr="006E28E9">
        <w:rPr>
          <w:rFonts w:hint="cs"/>
          <w:rtl/>
        </w:rPr>
        <w:t>بي</w:t>
      </w:r>
      <w:r w:rsidRPr="006E28E9">
        <w:rPr>
          <w:rStyle w:val="FootnoteReference"/>
          <w:rFonts w:hint="cs"/>
          <w:vertAlign w:val="baseline"/>
          <w:rtl/>
        </w:rPr>
        <w:t xml:space="preserve"> الحسن الحسيني القزويني، 1369 هـ.ق. انظروا: </w:t>
      </w:r>
      <w:r w:rsidRPr="006E28E9">
        <w:rPr>
          <w:rStyle w:val="FootnoteReference"/>
          <w:rFonts w:hint="cs"/>
          <w:b/>
          <w:bCs/>
          <w:vertAlign w:val="baseline"/>
          <w:rtl/>
        </w:rPr>
        <w:t>الذريعة إلى تصانيف الشيعة</w:t>
      </w:r>
      <w:r w:rsidRPr="006E28E9">
        <w:rPr>
          <w:rStyle w:val="FootnoteReference"/>
          <w:rFonts w:hint="cs"/>
          <w:vertAlign w:val="baseline"/>
          <w:rtl/>
        </w:rPr>
        <w:t xml:space="preserve">، آغا بزرگ الطهراني، ج 5، ص 290؛ ج 8، ص 50 </w:t>
      </w:r>
      <w:r w:rsidRPr="006E28E9">
        <w:rPr>
          <w:rFonts w:hint="cs"/>
          <w:rtl/>
        </w:rPr>
        <w:t>و</w:t>
      </w:r>
      <w:r w:rsidRPr="006E28E9">
        <w:rPr>
          <w:rStyle w:val="FootnoteReference"/>
          <w:rFonts w:hint="cs"/>
          <w:vertAlign w:val="baseline"/>
          <w:rtl/>
        </w:rPr>
        <w:t>250؛ ج 11، ص 9 و 75 و 112 و 310؛ ج 12، ص 210؛ ج 18، ص 32 و 305؛ ج 24، ص 68. ومعظم هذه المؤلفات طبعت في الفترة الزمنية بين 1315 إ</w:t>
      </w:r>
      <w:r w:rsidRPr="006E28E9">
        <w:rPr>
          <w:rFonts w:hint="cs"/>
          <w:rtl/>
        </w:rPr>
        <w:t>لى</w:t>
      </w:r>
      <w:r w:rsidRPr="006E28E9">
        <w:rPr>
          <w:rStyle w:val="FootnoteReference"/>
          <w:rFonts w:hint="cs"/>
          <w:vertAlign w:val="baseline"/>
          <w:rtl/>
        </w:rPr>
        <w:t xml:space="preserve"> 1323 هـ.ش.</w:t>
      </w:r>
      <w:r w:rsidRPr="006E28E9">
        <w:rPr>
          <w:rFonts w:hint="cs"/>
          <w:rtl/>
        </w:rPr>
        <w:t xml:space="preserve"> [يطابق: 1355 - 1363 هـ.ق.].</w:t>
      </w:r>
    </w:p>
  </w:footnote>
  <w:footnote w:id="19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منذ ذلك الزمن كان علماء الدين التقليديون سيئوا الظن بأمثال هؤلاء الأفراد. انظروا إلى تقرير السيد شاه حسيني حول اص</w:t>
      </w:r>
      <w:r w:rsidRPr="006E28E9">
        <w:rPr>
          <w:rFonts w:hint="cs"/>
          <w:rtl/>
        </w:rPr>
        <w:t>ط</w:t>
      </w:r>
      <w:r w:rsidRPr="006E28E9">
        <w:rPr>
          <w:rStyle w:val="FootnoteReference"/>
          <w:rFonts w:hint="cs"/>
          <w:vertAlign w:val="baseline"/>
          <w:rtl/>
        </w:rPr>
        <w:t>دام والده -الذي كان من علماء الدين- بشريعت سنگلجي في إحدى جلسات در</w:t>
      </w:r>
      <w:r w:rsidRPr="006E28E9">
        <w:rPr>
          <w:rFonts w:hint="cs"/>
          <w:rtl/>
        </w:rPr>
        <w:t>و</w:t>
      </w:r>
      <w:r w:rsidRPr="006E28E9">
        <w:rPr>
          <w:rStyle w:val="FootnoteReference"/>
          <w:rFonts w:hint="cs"/>
          <w:vertAlign w:val="baseline"/>
          <w:rtl/>
        </w:rPr>
        <w:t>سه ومحاضراته، انظروا:</w:t>
      </w:r>
      <w:r w:rsidRPr="006E28E9">
        <w:rPr>
          <w:rFonts w:hint="cs"/>
          <w:rtl/>
        </w:rPr>
        <w:t xml:space="preserve"> مجلة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معاصر ا</w:t>
      </w:r>
      <w:r>
        <w:rPr>
          <w:rStyle w:val="Char9"/>
          <w:rFonts w:hint="cs"/>
          <w:sz w:val="20"/>
          <w:szCs w:val="20"/>
          <w:rtl/>
        </w:rPr>
        <w:t>ی</w:t>
      </w:r>
      <w:r w:rsidRPr="008C7124">
        <w:rPr>
          <w:rStyle w:val="Char9"/>
          <w:rFonts w:hint="cs"/>
          <w:sz w:val="20"/>
          <w:szCs w:val="20"/>
          <w:rtl/>
        </w:rPr>
        <w:t>ران</w:t>
      </w:r>
      <w:r w:rsidRPr="006E28E9">
        <w:rPr>
          <w:rStyle w:val="FootnoteReference"/>
          <w:rFonts w:hint="cs"/>
          <w:vertAlign w:val="baseline"/>
          <w:rtl/>
        </w:rPr>
        <w:t xml:space="preserve"> [تاريخ إيران المعاصر]، العدد 17، ربيع 1380هـ.ش. [يطابق </w:t>
      </w:r>
      <w:r w:rsidRPr="006E28E9">
        <w:rPr>
          <w:rFonts w:hint="cs"/>
          <w:rtl/>
        </w:rPr>
        <w:t>1422هـ.ق]</w:t>
      </w:r>
      <w:r w:rsidRPr="006E28E9">
        <w:rPr>
          <w:rStyle w:val="FootnoteReference"/>
          <w:rFonts w:hint="cs"/>
          <w:vertAlign w:val="baseline"/>
          <w:rtl/>
        </w:rPr>
        <w:t xml:space="preserve">، ص 287-288. </w:t>
      </w:r>
    </w:p>
  </w:footnote>
  <w:footnote w:id="195">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ش</w:t>
      </w:r>
      <w:r w:rsidRPr="006E28E9">
        <w:rPr>
          <w:rFonts w:hint="cs"/>
          <w:rtl/>
        </w:rPr>
        <w:t>َ</w:t>
      </w:r>
      <w:r w:rsidRPr="006E28E9">
        <w:rPr>
          <w:rStyle w:val="FootnoteReference"/>
          <w:rFonts w:hint="cs"/>
          <w:vertAlign w:val="baseline"/>
          <w:rtl/>
        </w:rPr>
        <w:t xml:space="preserve">رَحَ صاحب </w:t>
      </w:r>
      <w:r w:rsidRPr="006E28E9">
        <w:rPr>
          <w:rFonts w:hint="cs"/>
          <w:rtl/>
        </w:rPr>
        <w:t>ال</w:t>
      </w:r>
      <w:r w:rsidRPr="006E28E9">
        <w:rPr>
          <w:rStyle w:val="FootnoteReference"/>
          <w:rFonts w:hint="cs"/>
          <w:vertAlign w:val="baseline"/>
          <w:rtl/>
        </w:rPr>
        <w:t>زماني في كتاب</w:t>
      </w:r>
      <w:r w:rsidRPr="006E28E9">
        <w:rPr>
          <w:rFonts w:hint="cs"/>
          <w:rtl/>
        </w:rPr>
        <w:t>ه</w:t>
      </w:r>
      <w:r w:rsidRPr="006E28E9">
        <w:rPr>
          <w:rStyle w:val="FootnoteReference"/>
          <w:rFonts w:hint="cs"/>
          <w:vertAlign w:val="baseline"/>
          <w:rtl/>
        </w:rPr>
        <w:t xml:space="preserve"> «</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باچه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اى بر رهبرى</w:t>
      </w:r>
      <w:r w:rsidRPr="006E28E9">
        <w:rPr>
          <w:rStyle w:val="FootnoteReference"/>
          <w:rFonts w:hint="cs"/>
          <w:vertAlign w:val="baseline"/>
          <w:rtl/>
        </w:rPr>
        <w:t xml:space="preserve">» [مقدمة على الزعامة]، ص 134 بعض عقائده في مجال المهدوية و </w:t>
      </w:r>
      <w:r w:rsidRPr="006E28E9">
        <w:rPr>
          <w:rFonts w:hint="cs"/>
          <w:rtl/>
        </w:rPr>
        <w:t>غيرها</w:t>
      </w:r>
      <w:r w:rsidRPr="006E28E9">
        <w:rPr>
          <w:rStyle w:val="FootnoteReference"/>
          <w:rFonts w:hint="cs"/>
          <w:vertAlign w:val="baseline"/>
          <w:rtl/>
        </w:rPr>
        <w:t>...الخ. كما كتب إحسان طبري يقول</w:t>
      </w:r>
      <w:r w:rsidRPr="006E28E9">
        <w:rPr>
          <w:rFonts w:hint="cs"/>
          <w:rtl/>
        </w:rPr>
        <w:t>:</w:t>
      </w:r>
      <w:r w:rsidRPr="006E28E9">
        <w:rPr>
          <w:rStyle w:val="FootnoteReference"/>
          <w:rFonts w:hint="cs"/>
          <w:vertAlign w:val="baseline"/>
          <w:rtl/>
        </w:rPr>
        <w:t xml:space="preserve"> إن شريعت كان يتبع في كتابه «</w:t>
      </w:r>
      <w:r w:rsidRPr="008C7124">
        <w:rPr>
          <w:rStyle w:val="Char9"/>
          <w:rFonts w:hint="cs"/>
          <w:sz w:val="20"/>
          <w:szCs w:val="20"/>
          <w:rtl/>
        </w:rPr>
        <w:t>مفتاح فهم القرآن</w:t>
      </w:r>
      <w:r w:rsidRPr="006E28E9">
        <w:rPr>
          <w:rStyle w:val="FootnoteReference"/>
          <w:rFonts w:hint="cs"/>
          <w:vertAlign w:val="baseline"/>
          <w:rtl/>
        </w:rPr>
        <w:t>» ا</w:t>
      </w:r>
      <w:r w:rsidRPr="006E28E9">
        <w:rPr>
          <w:rFonts w:hint="cs"/>
          <w:rtl/>
        </w:rPr>
        <w:t>لأهداف والمُثُل</w:t>
      </w:r>
      <w:r w:rsidRPr="006E28E9">
        <w:rPr>
          <w:rStyle w:val="FootnoteReference"/>
          <w:rFonts w:hint="cs"/>
          <w:vertAlign w:val="baseline"/>
          <w:rtl/>
        </w:rPr>
        <w:t xml:space="preserve"> ذاتها التي كان مارتن لوثر وتوماس مونتسر و[جان] كالفان [زعماء الإصلاح البروتستانتي] </w:t>
      </w:r>
      <w:r w:rsidRPr="006E28E9">
        <w:rPr>
          <w:rFonts w:hint="cs"/>
          <w:rtl/>
        </w:rPr>
        <w:t>يهدفون إلى تحقيقها في</w:t>
      </w:r>
      <w:r w:rsidRPr="006E28E9">
        <w:rPr>
          <w:rStyle w:val="FootnoteReference"/>
          <w:rFonts w:hint="cs"/>
          <w:vertAlign w:val="baseline"/>
          <w:rtl/>
        </w:rPr>
        <w:t xml:space="preserve"> المسيحية. ويضيف قائلاً: «كان شريعت سنگلجي ينشر عقائده بشكل حر من منبره في أيام رضا شاه التي </w:t>
      </w:r>
      <w:r w:rsidRPr="006E28E9">
        <w:rPr>
          <w:rFonts w:hint="cs"/>
          <w:rtl/>
        </w:rPr>
        <w:t xml:space="preserve">لم </w:t>
      </w:r>
      <w:r w:rsidRPr="006E28E9">
        <w:rPr>
          <w:rStyle w:val="FootnoteReference"/>
          <w:rFonts w:hint="cs"/>
          <w:vertAlign w:val="baseline"/>
          <w:rtl/>
        </w:rPr>
        <w:t>يكن فيها أي و</w:t>
      </w:r>
      <w:r w:rsidRPr="006E28E9">
        <w:rPr>
          <w:rFonts w:hint="cs"/>
          <w:rtl/>
        </w:rPr>
        <w:t>جود</w:t>
      </w:r>
      <w:r w:rsidRPr="006E28E9">
        <w:rPr>
          <w:rStyle w:val="FootnoteReference"/>
          <w:rFonts w:hint="cs"/>
          <w:vertAlign w:val="baseline"/>
          <w:rtl/>
        </w:rPr>
        <w:t xml:space="preserve"> لحرية الرأي </w:t>
      </w:r>
      <w:r w:rsidRPr="006E28E9">
        <w:rPr>
          <w:rFonts w:hint="cs"/>
          <w:rtl/>
        </w:rPr>
        <w:t>والعقيدة أ</w:t>
      </w:r>
      <w:r w:rsidRPr="006E28E9">
        <w:rPr>
          <w:rStyle w:val="FootnoteReference"/>
          <w:rFonts w:hint="cs"/>
          <w:vertAlign w:val="baseline"/>
          <w:rtl/>
        </w:rPr>
        <w:t xml:space="preserve">و </w:t>
      </w:r>
      <w:r w:rsidRPr="006E28E9">
        <w:rPr>
          <w:rFonts w:hint="cs"/>
          <w:rtl/>
        </w:rPr>
        <w:t>حرية البيان</w:t>
      </w:r>
      <w:r w:rsidRPr="006E28E9">
        <w:rPr>
          <w:rStyle w:val="FootnoteReference"/>
          <w:rFonts w:hint="cs"/>
          <w:vertAlign w:val="baseline"/>
          <w:rtl/>
        </w:rPr>
        <w:t xml:space="preserve">». انظروا: </w:t>
      </w:r>
      <w:r w:rsidRPr="008C7124">
        <w:rPr>
          <w:rStyle w:val="Char9"/>
          <w:rFonts w:hint="cs"/>
          <w:sz w:val="20"/>
          <w:szCs w:val="20"/>
          <w:rtl/>
        </w:rPr>
        <w:t>ا</w:t>
      </w:r>
      <w:r>
        <w:rPr>
          <w:rStyle w:val="Char9"/>
          <w:rFonts w:hint="cs"/>
          <w:sz w:val="20"/>
          <w:szCs w:val="20"/>
          <w:rtl/>
        </w:rPr>
        <w:t>ی</w:t>
      </w:r>
      <w:r w:rsidRPr="008C7124">
        <w:rPr>
          <w:rStyle w:val="Char9"/>
          <w:rFonts w:hint="cs"/>
          <w:sz w:val="20"/>
          <w:szCs w:val="20"/>
          <w:rtl/>
        </w:rPr>
        <w:t>ران در دو سده واپس</w:t>
      </w:r>
      <w:r>
        <w:rPr>
          <w:rStyle w:val="Char9"/>
          <w:rFonts w:hint="cs"/>
          <w:sz w:val="20"/>
          <w:szCs w:val="20"/>
          <w:rtl/>
        </w:rPr>
        <w:t>ی</w:t>
      </w:r>
      <w:r w:rsidRPr="008C7124">
        <w:rPr>
          <w:rStyle w:val="Char9"/>
          <w:rFonts w:hint="cs"/>
          <w:sz w:val="20"/>
          <w:szCs w:val="20"/>
          <w:rtl/>
        </w:rPr>
        <w:t>ن</w:t>
      </w:r>
      <w:r w:rsidRPr="006E28E9">
        <w:rPr>
          <w:rStyle w:val="FootnoteReference"/>
          <w:rFonts w:hint="cs"/>
          <w:vertAlign w:val="baseline"/>
          <w:rtl/>
        </w:rPr>
        <w:t xml:space="preserve"> [أي إيران في القرنين الماضيين]، ص 252-254. وفي موضع آخر قارن إحسان طبري بين شريعت سنگلجي وأحمد فضل وأحمد كسروي وكتب عن أحمد كسروي يقول: «</w:t>
      </w:r>
      <w:r w:rsidRPr="006E28E9">
        <w:rPr>
          <w:rStyle w:val="FootnoteReference"/>
          <w:vertAlign w:val="baseline"/>
          <w:rtl/>
        </w:rPr>
        <w:t xml:space="preserve">والذي نتكلم عنه من فترة نشاط كسروي هو تلك الفترة التي </w:t>
      </w:r>
      <w:r w:rsidRPr="006E28E9">
        <w:rPr>
          <w:rFonts w:hint="cs"/>
          <w:rtl/>
        </w:rPr>
        <w:t xml:space="preserve">وافَتْ </w:t>
      </w:r>
      <w:r w:rsidRPr="006E28E9">
        <w:rPr>
          <w:rStyle w:val="FootnoteReference"/>
          <w:vertAlign w:val="baseline"/>
          <w:rtl/>
        </w:rPr>
        <w:t xml:space="preserve">أواخر سنوات </w:t>
      </w:r>
      <w:r w:rsidRPr="006E28E9">
        <w:rPr>
          <w:rFonts w:hint="cs"/>
          <w:rtl/>
        </w:rPr>
        <w:t xml:space="preserve">حكم </w:t>
      </w:r>
      <w:r w:rsidRPr="006E28E9">
        <w:rPr>
          <w:rStyle w:val="FootnoteReference"/>
          <w:rFonts w:hint="cs"/>
          <w:vertAlign w:val="baseline"/>
          <w:rtl/>
        </w:rPr>
        <w:t>الم</w:t>
      </w:r>
      <w:r w:rsidRPr="006E28E9">
        <w:rPr>
          <w:rFonts w:hint="cs"/>
          <w:rtl/>
        </w:rPr>
        <w:t>َلِك</w:t>
      </w:r>
      <w:r w:rsidRPr="006E28E9">
        <w:rPr>
          <w:rStyle w:val="FootnoteReference"/>
          <w:vertAlign w:val="baseline"/>
          <w:rtl/>
        </w:rPr>
        <w:t xml:space="preserve"> رضا شاه، والتي كان كسروي - بمو</w:t>
      </w:r>
      <w:r w:rsidRPr="006E28E9">
        <w:rPr>
          <w:rFonts w:hint="cs"/>
          <w:rtl/>
        </w:rPr>
        <w:t>ا</w:t>
      </w:r>
      <w:r w:rsidRPr="006E28E9">
        <w:rPr>
          <w:rStyle w:val="FootnoteReference"/>
          <w:vertAlign w:val="baseline"/>
          <w:rtl/>
        </w:rPr>
        <w:t>زاة شريعت سنگلجي - يُنشئ فيها دينه الجديد الذي دعاه "پاكديني" أي الدين النقي الطاهر</w:t>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xml:space="preserve">، ص 260. </w:t>
      </w:r>
    </w:p>
    <w:p w:rsidR="008C7124" w:rsidRPr="006E28E9" w:rsidRDefault="008C7124" w:rsidP="00E4364C">
      <w:pPr>
        <w:pStyle w:val="FootnoteText"/>
        <w:ind w:firstLine="0"/>
        <w:rPr>
          <w:rStyle w:val="FootnoteReference"/>
          <w:vertAlign w:val="baseline"/>
          <w:rtl/>
        </w:rPr>
      </w:pPr>
      <w:r w:rsidRPr="006E28E9">
        <w:rPr>
          <w:rStyle w:val="FootnoteReference"/>
          <w:rFonts w:hint="cs"/>
          <w:vertAlign w:val="baseline"/>
          <w:rtl/>
        </w:rPr>
        <w:t xml:space="preserve">وأقول: من المؤكد والمقطوع به أنه من غير الجائر مقارنة هذين الأمرين أحدهما بالآخر. فكل واحد من ذينك الشخصين كان يتحرك بهدف الإصلاح حسب ظنه؛ وهي حركة كانت تنتهي بالاصطدام بعلماء الدين التقليديين في نهاية المطاف. كما أن </w:t>
      </w:r>
      <w:r w:rsidRPr="006E28E9">
        <w:rPr>
          <w:rFonts w:hint="cs"/>
          <w:rtl/>
        </w:rPr>
        <w:t xml:space="preserve">[الشاه] </w:t>
      </w:r>
      <w:r w:rsidRPr="006E28E9">
        <w:rPr>
          <w:rStyle w:val="FootnoteReference"/>
          <w:rFonts w:hint="cs"/>
          <w:vertAlign w:val="baseline"/>
          <w:rtl/>
        </w:rPr>
        <w:t xml:space="preserve">رضا خان الذي كان من أنصار إضعاف مؤسسة رجال الدين كان يفتح المجال لدعاة الإصلاح هؤلاء. يقول صاحب </w:t>
      </w:r>
      <w:r w:rsidRPr="006E28E9">
        <w:rPr>
          <w:rFonts w:hint="cs"/>
          <w:rtl/>
        </w:rPr>
        <w:t>ال</w:t>
      </w:r>
      <w:r w:rsidRPr="006E28E9">
        <w:rPr>
          <w:rStyle w:val="FootnoteReference"/>
          <w:rFonts w:hint="cs"/>
          <w:vertAlign w:val="baseline"/>
          <w:rtl/>
        </w:rPr>
        <w:t>زماني في كتابه</w:t>
      </w:r>
      <w:r w:rsidRPr="006E28E9">
        <w:rPr>
          <w:rFonts w:hint="cs"/>
          <w:rtl/>
        </w:rPr>
        <w:t xml:space="preserve"> المذكور</w:t>
      </w:r>
      <w:r w:rsidRPr="006E28E9">
        <w:rPr>
          <w:rStyle w:val="FootnoteReference"/>
          <w:rFonts w:hint="cs"/>
          <w:vertAlign w:val="baseline"/>
          <w:rtl/>
        </w:rPr>
        <w:t xml:space="preserve">: «بالتزامن مع شريعت كان هناك </w:t>
      </w:r>
      <w:r w:rsidRPr="006E28E9">
        <w:rPr>
          <w:rFonts w:hint="cs"/>
          <w:rtl/>
        </w:rPr>
        <w:t>-</w:t>
      </w:r>
      <w:r w:rsidRPr="006E28E9">
        <w:rPr>
          <w:rStyle w:val="FootnoteReference"/>
          <w:rFonts w:hint="cs"/>
          <w:vertAlign w:val="baseline"/>
          <w:rtl/>
        </w:rPr>
        <w:t>بنحو آخر</w:t>
      </w:r>
      <w:r w:rsidRPr="006E28E9">
        <w:rPr>
          <w:rFonts w:hint="cs"/>
          <w:rtl/>
        </w:rPr>
        <w:t>-</w:t>
      </w:r>
      <w:r w:rsidRPr="006E28E9">
        <w:rPr>
          <w:rStyle w:val="FootnoteReference"/>
          <w:rFonts w:hint="cs"/>
          <w:vertAlign w:val="baseline"/>
          <w:rtl/>
        </w:rPr>
        <w:t xml:space="preserve"> تحر</w:t>
      </w:r>
      <w:r w:rsidRPr="006E28E9">
        <w:rPr>
          <w:rFonts w:hint="cs"/>
          <w:rtl/>
        </w:rPr>
        <w:t>ُّ</w:t>
      </w:r>
      <w:r w:rsidRPr="006E28E9">
        <w:rPr>
          <w:rStyle w:val="FootnoteReference"/>
          <w:rFonts w:hint="cs"/>
          <w:vertAlign w:val="baseline"/>
          <w:rtl/>
        </w:rPr>
        <w:t>ك</w:t>
      </w:r>
      <w:r w:rsidRPr="006E28E9">
        <w:rPr>
          <w:rFonts w:hint="cs"/>
          <w:rtl/>
        </w:rPr>
        <w:t>ٌ</w:t>
      </w:r>
      <w:r w:rsidRPr="006E28E9">
        <w:rPr>
          <w:rStyle w:val="FootnoteReference"/>
          <w:rFonts w:hint="cs"/>
          <w:vertAlign w:val="baseline"/>
          <w:rtl/>
        </w:rPr>
        <w:t xml:space="preserve"> هو الأكثر تطر</w:t>
      </w:r>
      <w:r w:rsidRPr="006E28E9">
        <w:rPr>
          <w:rFonts w:hint="cs"/>
          <w:rtl/>
        </w:rPr>
        <w:t>ّ</w:t>
      </w:r>
      <w:r w:rsidRPr="006E28E9">
        <w:rPr>
          <w:rStyle w:val="FootnoteReference"/>
          <w:rFonts w:hint="cs"/>
          <w:vertAlign w:val="baseline"/>
          <w:rtl/>
        </w:rPr>
        <w:t>فًا، تجل</w:t>
      </w:r>
      <w:r w:rsidRPr="006E28E9">
        <w:rPr>
          <w:rFonts w:hint="cs"/>
          <w:rtl/>
        </w:rPr>
        <w:t>ّ</w:t>
      </w:r>
      <w:r w:rsidRPr="006E28E9">
        <w:rPr>
          <w:rStyle w:val="FootnoteReference"/>
          <w:rFonts w:hint="cs"/>
          <w:vertAlign w:val="baseline"/>
          <w:rtl/>
        </w:rPr>
        <w:t>ى في ش</w:t>
      </w:r>
      <w:r w:rsidRPr="006E28E9">
        <w:rPr>
          <w:rFonts w:hint="cs"/>
          <w:rtl/>
        </w:rPr>
        <w:t>خصية</w:t>
      </w:r>
      <w:r w:rsidRPr="006E28E9">
        <w:rPr>
          <w:rStyle w:val="FootnoteReference"/>
          <w:rFonts w:hint="cs"/>
          <w:vertAlign w:val="baseline"/>
          <w:rtl/>
        </w:rPr>
        <w:t xml:space="preserve"> كسروي وما س</w:t>
      </w:r>
      <w:r w:rsidRPr="006E28E9">
        <w:rPr>
          <w:rFonts w:hint="cs"/>
          <w:rtl/>
        </w:rPr>
        <w:t>مَّاه</w:t>
      </w:r>
      <w:r w:rsidRPr="006E28E9">
        <w:rPr>
          <w:rStyle w:val="FootnoteReference"/>
          <w:rFonts w:hint="cs"/>
          <w:vertAlign w:val="baseline"/>
          <w:rtl/>
        </w:rPr>
        <w:t xml:space="preserve"> بالدين الطاهر</w:t>
      </w:r>
      <w:r w:rsidRPr="006E28E9">
        <w:rPr>
          <w:rFonts w:hint="cs"/>
          <w:rtl/>
        </w:rPr>
        <w:t>، والذي تجلَّى</w:t>
      </w:r>
      <w:r w:rsidRPr="006E28E9">
        <w:rPr>
          <w:rStyle w:val="FootnoteReference"/>
          <w:rFonts w:hint="cs"/>
          <w:vertAlign w:val="baseline"/>
          <w:rtl/>
        </w:rPr>
        <w:t xml:space="preserve"> </w:t>
      </w:r>
      <w:r w:rsidRPr="006E28E9">
        <w:rPr>
          <w:rFonts w:hint="cs"/>
          <w:rtl/>
        </w:rPr>
        <w:t xml:space="preserve">في </w:t>
      </w:r>
      <w:r w:rsidRPr="006E28E9">
        <w:rPr>
          <w:rStyle w:val="FootnoteReference"/>
          <w:rFonts w:hint="cs"/>
          <w:vertAlign w:val="baseline"/>
          <w:rtl/>
        </w:rPr>
        <w:t xml:space="preserve">كتبه مثل </w:t>
      </w:r>
      <w:r w:rsidRPr="008C7124">
        <w:rPr>
          <w:rStyle w:val="Char9"/>
          <w:rFonts w:hint="cs"/>
          <w:sz w:val="20"/>
          <w:szCs w:val="20"/>
          <w:rtl/>
        </w:rPr>
        <w:t>صوف</w:t>
      </w:r>
      <w:r>
        <w:rPr>
          <w:rStyle w:val="Char9"/>
          <w:rFonts w:hint="cs"/>
          <w:sz w:val="20"/>
          <w:szCs w:val="20"/>
          <w:rtl/>
        </w:rPr>
        <w:t>ی</w:t>
      </w:r>
      <w:r w:rsidRPr="008C7124">
        <w:rPr>
          <w:rStyle w:val="Char9"/>
          <w:rFonts w:hint="cs"/>
          <w:sz w:val="20"/>
          <w:szCs w:val="20"/>
          <w:rtl/>
        </w:rPr>
        <w:t>گر</w:t>
      </w:r>
      <w:r>
        <w:rPr>
          <w:rStyle w:val="Char9"/>
          <w:rFonts w:hint="cs"/>
          <w:sz w:val="20"/>
          <w:szCs w:val="20"/>
          <w:rtl/>
        </w:rPr>
        <w:t>ی</w:t>
      </w:r>
      <w:r w:rsidRPr="006E28E9">
        <w:rPr>
          <w:rFonts w:hint="cs"/>
          <w:rtl/>
        </w:rPr>
        <w:t xml:space="preserve"> (أي </w:t>
      </w:r>
      <w:r w:rsidRPr="006E28E9">
        <w:rPr>
          <w:rStyle w:val="FootnoteReference"/>
          <w:rFonts w:hint="cs"/>
          <w:vertAlign w:val="baseline"/>
          <w:rtl/>
        </w:rPr>
        <w:t xml:space="preserve">التصوف </w:t>
      </w:r>
      <w:r w:rsidRPr="006E28E9">
        <w:rPr>
          <w:rFonts w:hint="cs"/>
          <w:rtl/>
        </w:rPr>
        <w:t>و</w:t>
      </w:r>
      <w:r w:rsidRPr="006E28E9">
        <w:rPr>
          <w:rStyle w:val="FootnoteReference"/>
          <w:rFonts w:hint="cs"/>
          <w:vertAlign w:val="baseline"/>
          <w:rtl/>
        </w:rPr>
        <w:t>الصوفية</w:t>
      </w:r>
      <w:r w:rsidRPr="006E28E9">
        <w:rPr>
          <w:rFonts w:hint="cs"/>
          <w:rtl/>
        </w:rPr>
        <w:t>)</w:t>
      </w:r>
      <w:r w:rsidRPr="006E28E9">
        <w:rPr>
          <w:rStyle w:val="FootnoteReference"/>
          <w:rFonts w:hint="cs"/>
          <w:vertAlign w:val="baseline"/>
          <w:rtl/>
        </w:rPr>
        <w:t xml:space="preserve"> [و</w:t>
      </w:r>
      <w:r w:rsidRPr="008C7124">
        <w:rPr>
          <w:rStyle w:val="Char9"/>
          <w:rFonts w:hint="cs"/>
          <w:sz w:val="20"/>
          <w:szCs w:val="20"/>
          <w:rtl/>
        </w:rPr>
        <w:t>ش</w:t>
      </w:r>
      <w:r>
        <w:rPr>
          <w:rStyle w:val="Char9"/>
          <w:rFonts w:hint="cs"/>
          <w:sz w:val="20"/>
          <w:szCs w:val="20"/>
          <w:rtl/>
        </w:rPr>
        <w:t>ی</w:t>
      </w:r>
      <w:r w:rsidRPr="008C7124">
        <w:rPr>
          <w:rStyle w:val="Char9"/>
          <w:rFonts w:hint="cs"/>
          <w:sz w:val="20"/>
          <w:szCs w:val="20"/>
          <w:rtl/>
        </w:rPr>
        <w:t>ع</w:t>
      </w:r>
      <w:r>
        <w:rPr>
          <w:rStyle w:val="Char9"/>
          <w:rFonts w:hint="cs"/>
          <w:sz w:val="20"/>
          <w:szCs w:val="20"/>
          <w:rtl/>
        </w:rPr>
        <w:t>ی</w:t>
      </w:r>
      <w:r w:rsidRPr="008C7124">
        <w:rPr>
          <w:rStyle w:val="Char9"/>
          <w:rFonts w:hint="cs"/>
          <w:sz w:val="20"/>
          <w:szCs w:val="20"/>
          <w:rtl/>
        </w:rPr>
        <w:t>گر</w:t>
      </w:r>
      <w:r>
        <w:rPr>
          <w:rStyle w:val="Char9"/>
          <w:rFonts w:hint="cs"/>
          <w:sz w:val="20"/>
          <w:szCs w:val="20"/>
          <w:rtl/>
        </w:rPr>
        <w:t>ی</w:t>
      </w:r>
      <w:r w:rsidRPr="006E28E9">
        <w:rPr>
          <w:rFonts w:hint="cs"/>
          <w:rtl/>
        </w:rPr>
        <w:t xml:space="preserve"> </w:t>
      </w:r>
      <w:r w:rsidRPr="006E28E9">
        <w:rPr>
          <w:rStyle w:val="FootnoteReference"/>
          <w:rFonts w:hint="cs"/>
          <w:vertAlign w:val="baseline"/>
          <w:rtl/>
        </w:rPr>
        <w:t>أي الشيعة والتشيع]... وسائر كتبه». انظر</w:t>
      </w:r>
      <w:r w:rsidRPr="006E28E9">
        <w:rPr>
          <w:rFonts w:hint="cs"/>
          <w:rtl/>
        </w:rPr>
        <w:t>:</w:t>
      </w:r>
      <w:r w:rsidRPr="006E28E9">
        <w:rPr>
          <w:rStyle w:val="FootnoteReference"/>
          <w:rFonts w:hint="cs"/>
          <w:vertAlign w:val="baseline"/>
          <w:rtl/>
        </w:rPr>
        <w:t xml:space="preserve"> «</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باچه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اى بر رهبرى</w:t>
      </w:r>
      <w:r w:rsidRPr="006E28E9">
        <w:rPr>
          <w:rStyle w:val="FootnoteReference"/>
          <w:rFonts w:hint="cs"/>
          <w:vertAlign w:val="baseline"/>
          <w:rtl/>
        </w:rPr>
        <w:t>» [مقدمة على الزعامة]، ص 134-135.</w:t>
      </w:r>
    </w:p>
    <w:p w:rsidR="008C7124" w:rsidRPr="006E28E9" w:rsidRDefault="008C7124" w:rsidP="00E4364C">
      <w:pPr>
        <w:pStyle w:val="FootnoteText"/>
        <w:ind w:firstLine="0"/>
        <w:rPr>
          <w:rStyle w:val="FootnoteReference"/>
          <w:vertAlign w:val="baseline"/>
          <w:rtl/>
        </w:rPr>
      </w:pPr>
      <w:r w:rsidRPr="006E28E9">
        <w:rPr>
          <w:rStyle w:val="FootnoteReference"/>
          <w:rFonts w:hint="cs"/>
          <w:vertAlign w:val="baseline"/>
          <w:rtl/>
        </w:rPr>
        <w:t>ولشريعت (و</w:t>
      </w:r>
      <w:r w:rsidRPr="006E28E9">
        <w:rPr>
          <w:rFonts w:hint="cs"/>
          <w:rtl/>
        </w:rPr>
        <w:t xml:space="preserve">يُحْتَمَل أن يكون </w:t>
      </w:r>
      <w:r w:rsidRPr="006E28E9">
        <w:rPr>
          <w:rStyle w:val="FootnoteReference"/>
          <w:rFonts w:hint="cs"/>
          <w:vertAlign w:val="baseline"/>
          <w:rtl/>
        </w:rPr>
        <w:t xml:space="preserve">لأخيه) كتابان آخران عنوانهما: </w:t>
      </w:r>
      <w:r w:rsidRPr="006E28E9">
        <w:rPr>
          <w:rStyle w:val="FootnoteReference"/>
          <w:rFonts w:hint="cs"/>
          <w:b/>
          <w:bCs/>
          <w:vertAlign w:val="baseline"/>
          <w:rtl/>
        </w:rPr>
        <w:t>قانون الزواج في الإسلام</w:t>
      </w:r>
      <w:r w:rsidRPr="006E28E9">
        <w:rPr>
          <w:rStyle w:val="FootnoteReference"/>
          <w:rFonts w:hint="cs"/>
          <w:vertAlign w:val="baseline"/>
          <w:rtl/>
        </w:rPr>
        <w:t xml:space="preserve">، </w:t>
      </w:r>
      <w:r w:rsidRPr="006E28E9">
        <w:rPr>
          <w:rStyle w:val="FootnoteReference"/>
          <w:rFonts w:hint="cs"/>
          <w:b/>
          <w:bCs/>
          <w:vertAlign w:val="baseline"/>
          <w:rtl/>
        </w:rPr>
        <w:t>وقانون الإرث في الإسلام</w:t>
      </w:r>
      <w:r w:rsidRPr="006E28E9">
        <w:rPr>
          <w:rStyle w:val="FootnoteReference"/>
          <w:rFonts w:hint="cs"/>
          <w:vertAlign w:val="baseline"/>
          <w:rtl/>
        </w:rPr>
        <w:t xml:space="preserve">. انظروا: </w:t>
      </w:r>
      <w:r w:rsidRPr="006E28E9">
        <w:rPr>
          <w:rStyle w:val="FootnoteReference"/>
          <w:rFonts w:hint="cs"/>
          <w:b/>
          <w:bCs/>
          <w:vertAlign w:val="baseline"/>
          <w:rtl/>
        </w:rPr>
        <w:t>الذريعة</w:t>
      </w:r>
      <w:r w:rsidRPr="006E28E9">
        <w:rPr>
          <w:rStyle w:val="FootnoteReference"/>
          <w:rFonts w:hint="cs"/>
          <w:vertAlign w:val="baseline"/>
          <w:rtl/>
        </w:rPr>
        <w:t xml:space="preserve">، ج 17، ص 19 و22؛ </w:t>
      </w:r>
    </w:p>
    <w:p w:rsidR="008C7124" w:rsidRPr="006E28E9" w:rsidRDefault="008C7124" w:rsidP="00E4364C">
      <w:pPr>
        <w:pStyle w:val="FootnoteText"/>
        <w:ind w:firstLine="0"/>
        <w:rPr>
          <w:rStyle w:val="FootnoteReference"/>
          <w:vertAlign w:val="baseline"/>
        </w:rPr>
      </w:pPr>
      <w:r w:rsidRPr="006E28E9">
        <w:rPr>
          <w:rStyle w:val="FootnoteReference"/>
          <w:rFonts w:hint="cs"/>
          <w:vertAlign w:val="baseline"/>
          <w:rtl/>
        </w:rPr>
        <w:t xml:space="preserve">ومن الجدير بالذكر أن أخا شريعت سنگلجي </w:t>
      </w:r>
      <w:r w:rsidRPr="006E28E9">
        <w:rPr>
          <w:rFonts w:hint="cs"/>
          <w:rtl/>
        </w:rPr>
        <w:t xml:space="preserve">- </w:t>
      </w:r>
      <w:r w:rsidRPr="006E28E9">
        <w:rPr>
          <w:rStyle w:val="FootnoteReference"/>
          <w:rFonts w:hint="cs"/>
          <w:vertAlign w:val="baseline"/>
          <w:rtl/>
        </w:rPr>
        <w:t>وي</w:t>
      </w:r>
      <w:r w:rsidRPr="006E28E9">
        <w:rPr>
          <w:rFonts w:hint="cs"/>
          <w:rtl/>
        </w:rPr>
        <w:t>ُ</w:t>
      </w:r>
      <w:r w:rsidRPr="006E28E9">
        <w:rPr>
          <w:rStyle w:val="FootnoteReference"/>
          <w:rFonts w:hint="cs"/>
          <w:vertAlign w:val="baseline"/>
          <w:rtl/>
        </w:rPr>
        <w:t>دْعَى الشيخ محمد شريعت سنگلجي- كان له نشاط في الجامعة و</w:t>
      </w:r>
      <w:r w:rsidRPr="006E28E9">
        <w:rPr>
          <w:rFonts w:hint="cs"/>
          <w:rtl/>
        </w:rPr>
        <w:t>َ</w:t>
      </w:r>
      <w:r w:rsidRPr="006E28E9">
        <w:rPr>
          <w:rStyle w:val="FootnoteReference"/>
          <w:rFonts w:hint="cs"/>
          <w:vertAlign w:val="baseline"/>
          <w:rtl/>
        </w:rPr>
        <w:t>طَبَع رسالة</w:t>
      </w:r>
      <w:r w:rsidRPr="006E28E9">
        <w:rPr>
          <w:rFonts w:hint="cs"/>
          <w:rtl/>
        </w:rPr>
        <w:t>ً</w:t>
      </w:r>
      <w:r w:rsidRPr="006E28E9">
        <w:rPr>
          <w:rStyle w:val="FootnoteReference"/>
          <w:rFonts w:hint="cs"/>
          <w:vertAlign w:val="baseline"/>
          <w:rtl/>
        </w:rPr>
        <w:t xml:space="preserve"> «في الميراث والوصية والبيع الفضولي» في مجلد واحد سنة 1333هـ.ش/1373هـ.ق تحت عنوان كتاب رقم 185 من انتشارات الجامعة. (وكان حيًّا حتى حوالي سنة 1359-1360هـ.ش.</w:t>
      </w:r>
      <w:r w:rsidRPr="006E28E9">
        <w:rPr>
          <w:rFonts w:hint="cs"/>
          <w:rtl/>
        </w:rPr>
        <w:t xml:space="preserve"> [1400-1401هـ.ق]. </w:t>
      </w:r>
      <w:r w:rsidRPr="006E28E9">
        <w:rPr>
          <w:rStyle w:val="FootnoteReference"/>
          <w:rFonts w:hint="cs"/>
          <w:vertAlign w:val="baseline"/>
          <w:rtl/>
        </w:rPr>
        <w:t xml:space="preserve">هذا وكتب مئير عذرى يقول: إنه تعرف عليه عن طريق شعبان جعفري وحاول أن يستخرج موقفه وما يعتقده بشأن إسرائيل. انظروا: </w:t>
      </w:r>
      <w:r>
        <w:rPr>
          <w:rStyle w:val="Char9"/>
          <w:rFonts w:hint="cs"/>
          <w:sz w:val="20"/>
          <w:szCs w:val="20"/>
          <w:rtl/>
        </w:rPr>
        <w:t>ی</w:t>
      </w:r>
      <w:r w:rsidRPr="008C7124">
        <w:rPr>
          <w:rStyle w:val="Char9"/>
          <w:rFonts w:hint="cs"/>
          <w:sz w:val="20"/>
          <w:szCs w:val="20"/>
          <w:rtl/>
        </w:rPr>
        <w:t>ادنامه</w:t>
      </w:r>
      <w:r w:rsidRPr="006E28E9">
        <w:rPr>
          <w:rStyle w:val="FootnoteReference"/>
          <w:rFonts w:hint="cs"/>
          <w:vertAlign w:val="baseline"/>
          <w:rtl/>
        </w:rPr>
        <w:t>، ج 2، ص 27-28). وقد كتب المرحوم آية الله علي أصغر لاري- ابن السيد عبد الحسين لاري- نقدًا بعنوان «</w:t>
      </w:r>
      <w:r w:rsidRPr="008C7124">
        <w:rPr>
          <w:rStyle w:val="Char9"/>
          <w:rFonts w:hint="cs"/>
          <w:sz w:val="20"/>
          <w:szCs w:val="20"/>
          <w:rtl/>
        </w:rPr>
        <w:t>رد وانتقاد</w:t>
      </w:r>
      <w:r w:rsidRPr="006E28E9">
        <w:rPr>
          <w:rStyle w:val="FootnoteReference"/>
          <w:rFonts w:hint="cs"/>
          <w:vertAlign w:val="baseline"/>
          <w:rtl/>
        </w:rPr>
        <w:t xml:space="preserve">» على كتاب </w:t>
      </w:r>
      <w:r>
        <w:rPr>
          <w:rStyle w:val="Char9"/>
          <w:rFonts w:hint="cs"/>
          <w:sz w:val="20"/>
          <w:szCs w:val="20"/>
          <w:rtl/>
        </w:rPr>
        <w:t>ک</w:t>
      </w:r>
      <w:r w:rsidRPr="008C7124">
        <w:rPr>
          <w:rStyle w:val="Char9"/>
          <w:rFonts w:hint="cs"/>
          <w:sz w:val="20"/>
          <w:szCs w:val="20"/>
          <w:rtl/>
        </w:rPr>
        <w:t>ل</w:t>
      </w:r>
      <w:r>
        <w:rPr>
          <w:rStyle w:val="Char9"/>
          <w:rFonts w:hint="cs"/>
          <w:sz w:val="20"/>
          <w:szCs w:val="20"/>
          <w:rtl/>
        </w:rPr>
        <w:t>ی</w:t>
      </w:r>
      <w:r w:rsidRPr="008C7124">
        <w:rPr>
          <w:rStyle w:val="Char9"/>
          <w:rFonts w:hint="cs"/>
          <w:sz w:val="20"/>
          <w:szCs w:val="20"/>
          <w:rtl/>
        </w:rPr>
        <w:t>د فهم قرآن</w:t>
      </w:r>
      <w:r w:rsidRPr="006E28E9">
        <w:rPr>
          <w:rStyle w:val="FootnoteReference"/>
          <w:rFonts w:hint="cs"/>
          <w:vertAlign w:val="baseline"/>
          <w:rtl/>
        </w:rPr>
        <w:t xml:space="preserve"> </w:t>
      </w:r>
      <w:r w:rsidRPr="006E28E9">
        <w:rPr>
          <w:rFonts w:hint="cs"/>
          <w:rtl/>
        </w:rPr>
        <w:t xml:space="preserve">[مفتاح فهم القرآن، الذي ألفه شريعت سنگلجي] </w:t>
      </w:r>
      <w:r w:rsidRPr="006E28E9">
        <w:rPr>
          <w:rStyle w:val="FootnoteReference"/>
          <w:rFonts w:hint="cs"/>
          <w:vertAlign w:val="baseline"/>
          <w:rtl/>
        </w:rPr>
        <w:t xml:space="preserve">وقد طبع هذا الرد برفقة بعض رسائل لاري الأخرى (كرسالة الحجاب والعبودية وحاجة البشر إلى النبي و...) في كتاب واحد سنة 1364هـ.ش بالأُفسِت في قم. وكان محور البحث </w:t>
      </w:r>
      <w:r w:rsidRPr="006E28E9">
        <w:rPr>
          <w:rFonts w:hint="cs"/>
          <w:rtl/>
        </w:rPr>
        <w:t xml:space="preserve">يدور </w:t>
      </w:r>
      <w:r w:rsidRPr="006E28E9">
        <w:rPr>
          <w:rStyle w:val="FootnoteReference"/>
          <w:rFonts w:hint="cs"/>
          <w:vertAlign w:val="baseline"/>
          <w:rtl/>
        </w:rPr>
        <w:t>بشكل رئيسي ح</w:t>
      </w:r>
      <w:r w:rsidRPr="006E28E9">
        <w:rPr>
          <w:rFonts w:hint="cs"/>
          <w:rtl/>
        </w:rPr>
        <w:t>ول</w:t>
      </w:r>
      <w:r w:rsidRPr="006E28E9">
        <w:rPr>
          <w:rStyle w:val="FootnoteReference"/>
          <w:rFonts w:hint="cs"/>
          <w:vertAlign w:val="baseline"/>
          <w:rtl/>
        </w:rPr>
        <w:t xml:space="preserve"> علم النبي والإمام ودائرة المعرفة الموجودة في القرآن. </w:t>
      </w:r>
    </w:p>
  </w:footnote>
  <w:footnote w:id="19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شريعت سنگلجي، </w:t>
      </w:r>
      <w:r>
        <w:rPr>
          <w:rStyle w:val="Char9"/>
          <w:sz w:val="20"/>
          <w:szCs w:val="20"/>
          <w:rtl/>
        </w:rPr>
        <w:t>ک</w:t>
      </w:r>
      <w:r w:rsidRPr="008C7124">
        <w:rPr>
          <w:rStyle w:val="Char9"/>
          <w:sz w:val="20"/>
          <w:szCs w:val="20"/>
          <w:rtl/>
        </w:rPr>
        <w:t>ل</w:t>
      </w:r>
      <w:r>
        <w:rPr>
          <w:rStyle w:val="Char9"/>
          <w:sz w:val="20"/>
          <w:szCs w:val="20"/>
          <w:rtl/>
        </w:rPr>
        <w:t>ی</w:t>
      </w:r>
      <w:r w:rsidRPr="008C7124">
        <w:rPr>
          <w:rStyle w:val="Char9"/>
          <w:sz w:val="20"/>
          <w:szCs w:val="20"/>
          <w:rtl/>
        </w:rPr>
        <w:t>د فهم قرآن</w:t>
      </w:r>
      <w:r w:rsidRPr="006E28E9">
        <w:rPr>
          <w:rStyle w:val="FootnoteReference"/>
          <w:vertAlign w:val="baseline"/>
          <w:rtl/>
        </w:rPr>
        <w:t xml:space="preserve"> </w:t>
      </w:r>
      <w:r w:rsidRPr="006E28E9">
        <w:rPr>
          <w:rStyle w:val="FootnoteReference"/>
          <w:rFonts w:hint="cs"/>
          <w:vertAlign w:val="baseline"/>
          <w:rtl/>
        </w:rPr>
        <w:t>[</w:t>
      </w:r>
      <w:r w:rsidRPr="006E28E9">
        <w:rPr>
          <w:rStyle w:val="FootnoteReference"/>
          <w:vertAlign w:val="baseline"/>
          <w:rtl/>
        </w:rPr>
        <w:t>مفتاح فهم القرآن</w:t>
      </w:r>
      <w:r w:rsidRPr="006E28E9">
        <w:rPr>
          <w:rStyle w:val="FootnoteReference"/>
          <w:rFonts w:hint="cs"/>
          <w:vertAlign w:val="baseline"/>
          <w:rtl/>
        </w:rPr>
        <w:t>]</w:t>
      </w:r>
      <w:r w:rsidRPr="006E28E9">
        <w:rPr>
          <w:rStyle w:val="FootnoteReference"/>
          <w:vertAlign w:val="baseline"/>
          <w:rtl/>
        </w:rPr>
        <w:t>، ص 80.</w:t>
      </w:r>
    </w:p>
  </w:footnote>
  <w:footnote w:id="19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بعد ذلك فسّر</w:t>
      </w:r>
      <w:r w:rsidRPr="006E28E9">
        <w:rPr>
          <w:rFonts w:hint="cs"/>
          <w:rtl/>
        </w:rPr>
        <w:t xml:space="preserve"> </w:t>
      </w:r>
      <w:r w:rsidRPr="006E28E9">
        <w:rPr>
          <w:rFonts w:hint="cs"/>
          <w:rtl/>
        </w:rPr>
        <w:t>أتباع منظَّمة «مجاهدي خلق»</w:t>
      </w:r>
      <w:r w:rsidRPr="006E28E9">
        <w:rPr>
          <w:rStyle w:val="FootnoteReference"/>
          <w:vertAlign w:val="baseline"/>
          <w:rtl/>
        </w:rPr>
        <w:t xml:space="preserve"> </w:t>
      </w:r>
      <w:r w:rsidRPr="006E28E9">
        <w:rPr>
          <w:rFonts w:hint="cs"/>
          <w:rtl/>
        </w:rPr>
        <w:t>[</w:t>
      </w:r>
      <w:r w:rsidRPr="006E28E9">
        <w:rPr>
          <w:rStyle w:val="FootnoteReference"/>
          <w:vertAlign w:val="baseline"/>
          <w:rtl/>
        </w:rPr>
        <w:t>مجاهدو الشعب</w:t>
      </w:r>
      <w:r w:rsidRPr="006E28E9">
        <w:rPr>
          <w:rFonts w:hint="cs"/>
          <w:rtl/>
        </w:rPr>
        <w:t>]</w:t>
      </w:r>
      <w:r w:rsidRPr="006E28E9">
        <w:rPr>
          <w:rStyle w:val="FootnoteReference"/>
          <w:vertAlign w:val="baseline"/>
          <w:rtl/>
        </w:rPr>
        <w:t xml:space="preserve"> الم</w:t>
      </w:r>
      <w:r w:rsidRPr="006E28E9">
        <w:rPr>
          <w:rFonts w:hint="cs"/>
          <w:rtl/>
        </w:rPr>
        <w:t>ُ</w:t>
      </w:r>
      <w:r w:rsidRPr="006E28E9">
        <w:rPr>
          <w:rStyle w:val="FootnoteReference"/>
          <w:vertAlign w:val="baseline"/>
          <w:rtl/>
        </w:rPr>
        <w:t>ح</w:t>
      </w:r>
      <w:r w:rsidRPr="006E28E9">
        <w:rPr>
          <w:rFonts w:hint="cs"/>
          <w:rtl/>
        </w:rPr>
        <w:t>ْ</w:t>
      </w:r>
      <w:r w:rsidRPr="006E28E9">
        <w:rPr>
          <w:rStyle w:val="FootnoteReference"/>
          <w:vertAlign w:val="baseline"/>
          <w:rtl/>
        </w:rPr>
        <w:t>ك</w:t>
      </w:r>
      <w:r w:rsidRPr="006E28E9">
        <w:rPr>
          <w:rFonts w:hint="cs"/>
          <w:rtl/>
        </w:rPr>
        <w:t>َ</w:t>
      </w:r>
      <w:r w:rsidRPr="006E28E9">
        <w:rPr>
          <w:rStyle w:val="FootnoteReference"/>
          <w:vertAlign w:val="baseline"/>
          <w:rtl/>
        </w:rPr>
        <w:t>م والمتشابه بمعنى البنية التحتية والبنية الفوقية</w:t>
      </w:r>
      <w:r w:rsidRPr="006E28E9">
        <w:rPr>
          <w:rStyle w:val="FootnoteReference"/>
          <w:rFonts w:hint="cs"/>
          <w:vertAlign w:val="baseline"/>
          <w:rtl/>
        </w:rPr>
        <w:t>!</w:t>
      </w:r>
    </w:p>
  </w:footnote>
  <w:footnote w:id="198">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sz w:val="20"/>
          <w:szCs w:val="20"/>
          <w:rtl/>
        </w:rPr>
        <w:t>ک</w:t>
      </w:r>
      <w:r w:rsidRPr="008C7124">
        <w:rPr>
          <w:rStyle w:val="Char9"/>
          <w:sz w:val="20"/>
          <w:szCs w:val="20"/>
          <w:rtl/>
        </w:rPr>
        <w:t>ل</w:t>
      </w:r>
      <w:r>
        <w:rPr>
          <w:rStyle w:val="Char9"/>
          <w:sz w:val="20"/>
          <w:szCs w:val="20"/>
          <w:rtl/>
        </w:rPr>
        <w:t>ی</w:t>
      </w:r>
      <w:r w:rsidRPr="008C7124">
        <w:rPr>
          <w:rStyle w:val="Char9"/>
          <w:sz w:val="20"/>
          <w:szCs w:val="20"/>
          <w:rtl/>
        </w:rPr>
        <w:t>د فهم قرآن</w:t>
      </w:r>
      <w:r w:rsidRPr="006E28E9">
        <w:rPr>
          <w:rStyle w:val="FootnoteReference"/>
          <w:vertAlign w:val="baseline"/>
          <w:rtl/>
        </w:rPr>
        <w:t>، ص 100.</w:t>
      </w:r>
    </w:p>
  </w:footnote>
  <w:footnote w:id="19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b/>
          <w:bCs/>
          <w:vertAlign w:val="baseline"/>
          <w:rtl/>
        </w:rPr>
        <w:t>المصدر نفسه</w:t>
      </w:r>
      <w:r w:rsidRPr="006E28E9">
        <w:rPr>
          <w:rStyle w:val="FootnoteReference"/>
          <w:vertAlign w:val="baseline"/>
          <w:rtl/>
        </w:rPr>
        <w:t>، ص 47.</w:t>
      </w:r>
    </w:p>
  </w:footnote>
  <w:footnote w:id="200">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انظروا إلى نقض هذا الكتاب الذي جاء في كتاب باسم (</w:t>
      </w:r>
      <w:r w:rsidRPr="008C7124">
        <w:rPr>
          <w:rStyle w:val="Char9"/>
          <w:sz w:val="20"/>
          <w:szCs w:val="20"/>
          <w:rtl/>
        </w:rPr>
        <w:t>طوفان حق</w:t>
      </w:r>
      <w:r>
        <w:rPr>
          <w:rStyle w:val="Char9"/>
          <w:sz w:val="20"/>
          <w:szCs w:val="20"/>
          <w:rtl/>
        </w:rPr>
        <w:t>ی</w:t>
      </w:r>
      <w:r w:rsidRPr="008C7124">
        <w:rPr>
          <w:rStyle w:val="Char9"/>
          <w:sz w:val="20"/>
          <w:szCs w:val="20"/>
          <w:rtl/>
        </w:rPr>
        <w:t>قت</w:t>
      </w:r>
      <w:r w:rsidRPr="006E28E9">
        <w:rPr>
          <w:rStyle w:val="FootnoteReference"/>
          <w:vertAlign w:val="baseline"/>
          <w:rtl/>
        </w:rPr>
        <w:t>) (عاصفة الحقيقة)، تأليف حسين آست</w:t>
      </w:r>
      <w:r w:rsidRPr="006E28E9">
        <w:rPr>
          <w:rFonts w:hint="cs"/>
          <w:rtl/>
        </w:rPr>
        <w:t>ا</w:t>
      </w:r>
      <w:r w:rsidRPr="006E28E9">
        <w:rPr>
          <w:rStyle w:val="FootnoteReference"/>
          <w:vertAlign w:val="baseline"/>
          <w:rtl/>
        </w:rPr>
        <w:t>نه پرست الذي عر</w:t>
      </w:r>
      <w:r w:rsidRPr="006E28E9">
        <w:rPr>
          <w:rFonts w:hint="cs"/>
          <w:rtl/>
        </w:rPr>
        <w:t>َّ</w:t>
      </w:r>
      <w:r w:rsidRPr="006E28E9">
        <w:rPr>
          <w:rStyle w:val="FootnoteReference"/>
          <w:vertAlign w:val="baseline"/>
          <w:rtl/>
        </w:rPr>
        <w:t>ف نفسه بوصفه م</w:t>
      </w:r>
      <w:r w:rsidRPr="006E28E9">
        <w:rPr>
          <w:rFonts w:hint="cs"/>
          <w:rtl/>
        </w:rPr>
        <w:t>ُ</w:t>
      </w:r>
      <w:r w:rsidRPr="006E28E9">
        <w:rPr>
          <w:rStyle w:val="FootnoteReference"/>
          <w:vertAlign w:val="baseline"/>
          <w:rtl/>
        </w:rPr>
        <w:t>ع</w:t>
      </w:r>
      <w:r w:rsidRPr="006E28E9">
        <w:rPr>
          <w:rStyle w:val="FootnoteReference"/>
          <w:rFonts w:hint="cs"/>
          <w:vertAlign w:val="baseline"/>
          <w:rtl/>
        </w:rPr>
        <w:t>َ</w:t>
      </w:r>
      <w:r w:rsidRPr="006E28E9">
        <w:rPr>
          <w:rStyle w:val="FootnoteReference"/>
          <w:vertAlign w:val="baseline"/>
          <w:rtl/>
        </w:rPr>
        <w:t>ل</w:t>
      </w:r>
      <w:r w:rsidRPr="006E28E9">
        <w:rPr>
          <w:rFonts w:hint="cs"/>
          <w:rtl/>
        </w:rPr>
        <w:t>ِّ</w:t>
      </w:r>
      <w:r w:rsidRPr="006E28E9">
        <w:rPr>
          <w:rStyle w:val="FootnoteReference"/>
          <w:vertAlign w:val="baseline"/>
          <w:rtl/>
        </w:rPr>
        <w:t>ماً في مدراس مدينة مشهد الابتدائية وأدرج أقساماً من ذلك الكتاب بعين ألفاظها في كتابه.</w:t>
      </w:r>
    </w:p>
  </w:footnote>
  <w:footnote w:id="201">
    <w:p w:rsidR="008C7124" w:rsidRPr="00E4364C" w:rsidRDefault="008C7124" w:rsidP="0092648A">
      <w:pPr>
        <w:pStyle w:val="FootnoteText"/>
        <w:rPr>
          <w:rStyle w:val="FootnoteReference"/>
          <w:spacing w:val="-6"/>
          <w:vertAlign w:val="baseline"/>
          <w:rtl/>
        </w:rPr>
      </w:pPr>
      <w:r w:rsidRPr="00E4364C">
        <w:rPr>
          <w:rStyle w:val="FootnoteReference"/>
          <w:rFonts w:ascii="Arabic11 BT" w:hAnsi="Arabic11 BT" w:cs="Arabic11 BT"/>
          <w:spacing w:val="-6"/>
          <w:vertAlign w:val="baseline"/>
        </w:rPr>
        <w:footnoteRef/>
      </w:r>
      <w:r w:rsidRPr="00E4364C">
        <w:rPr>
          <w:rStyle w:val="FootnoteReference"/>
          <w:rFonts w:hint="cs"/>
          <w:spacing w:val="-6"/>
          <w:vertAlign w:val="baseline"/>
          <w:rtl/>
        </w:rPr>
        <w:t xml:space="preserve">. </w:t>
      </w:r>
      <w:r w:rsidRPr="008C7124">
        <w:rPr>
          <w:rStyle w:val="Char9"/>
          <w:spacing w:val="-6"/>
          <w:sz w:val="20"/>
          <w:szCs w:val="20"/>
          <w:rtl/>
        </w:rPr>
        <w:t>طوفان حق</w:t>
      </w:r>
      <w:r>
        <w:rPr>
          <w:rStyle w:val="Char9"/>
          <w:spacing w:val="-6"/>
          <w:sz w:val="20"/>
          <w:szCs w:val="20"/>
          <w:rtl/>
        </w:rPr>
        <w:t>ی</w:t>
      </w:r>
      <w:r w:rsidRPr="008C7124">
        <w:rPr>
          <w:rStyle w:val="Char9"/>
          <w:spacing w:val="-6"/>
          <w:sz w:val="20"/>
          <w:szCs w:val="20"/>
          <w:rtl/>
        </w:rPr>
        <w:t xml:space="preserve">قت در نقد </w:t>
      </w:r>
      <w:r>
        <w:rPr>
          <w:rStyle w:val="Char9"/>
          <w:spacing w:val="-6"/>
          <w:sz w:val="20"/>
          <w:szCs w:val="20"/>
          <w:rtl/>
        </w:rPr>
        <w:t>ک</w:t>
      </w:r>
      <w:r w:rsidRPr="008C7124">
        <w:rPr>
          <w:rStyle w:val="Char9"/>
          <w:spacing w:val="-6"/>
          <w:sz w:val="20"/>
          <w:szCs w:val="20"/>
          <w:rtl/>
        </w:rPr>
        <w:t>شتى نجات بشر</w:t>
      </w:r>
      <w:r>
        <w:rPr>
          <w:rStyle w:val="Char9"/>
          <w:spacing w:val="-6"/>
          <w:sz w:val="20"/>
          <w:szCs w:val="20"/>
          <w:rtl/>
        </w:rPr>
        <w:t>ی</w:t>
      </w:r>
      <w:r w:rsidRPr="008C7124">
        <w:rPr>
          <w:rStyle w:val="Char9"/>
          <w:spacing w:val="-6"/>
          <w:sz w:val="20"/>
          <w:szCs w:val="20"/>
          <w:rtl/>
        </w:rPr>
        <w:t>ت</w:t>
      </w:r>
      <w:r w:rsidRPr="00E4364C">
        <w:rPr>
          <w:rStyle w:val="FootnoteReference"/>
          <w:spacing w:val="-6"/>
          <w:vertAlign w:val="baseline"/>
          <w:rtl/>
        </w:rPr>
        <w:t xml:space="preserve"> (أي عاصفة الحقيقة في نقد سفينة نجاة البشرية)</w:t>
      </w:r>
      <w:r w:rsidRPr="00E4364C">
        <w:rPr>
          <w:rStyle w:val="FootnoteReference"/>
          <w:rFonts w:hint="cs"/>
          <w:spacing w:val="-6"/>
          <w:vertAlign w:val="baseline"/>
          <w:rtl/>
        </w:rPr>
        <w:t>،</w:t>
      </w:r>
      <w:r w:rsidRPr="00E4364C">
        <w:rPr>
          <w:rStyle w:val="FootnoteReference"/>
          <w:spacing w:val="-6"/>
          <w:vertAlign w:val="baseline"/>
          <w:rtl/>
        </w:rPr>
        <w:t xml:space="preserve"> ص 74 (وقد جاء هذا الكلام في الصفحة 74 من كتاب </w:t>
      </w:r>
      <w:r>
        <w:rPr>
          <w:rStyle w:val="Char9"/>
          <w:spacing w:val="-6"/>
          <w:sz w:val="20"/>
          <w:szCs w:val="20"/>
          <w:rtl/>
        </w:rPr>
        <w:t>ک</w:t>
      </w:r>
      <w:r w:rsidRPr="008C7124">
        <w:rPr>
          <w:rStyle w:val="Char9"/>
          <w:spacing w:val="-6"/>
          <w:sz w:val="20"/>
          <w:szCs w:val="20"/>
          <w:rtl/>
        </w:rPr>
        <w:t>شتى نجات بشر</w:t>
      </w:r>
      <w:r>
        <w:rPr>
          <w:rStyle w:val="Char9"/>
          <w:spacing w:val="-6"/>
          <w:sz w:val="20"/>
          <w:szCs w:val="20"/>
          <w:rtl/>
        </w:rPr>
        <w:t>ی</w:t>
      </w:r>
      <w:r w:rsidRPr="008C7124">
        <w:rPr>
          <w:rStyle w:val="Char9"/>
          <w:spacing w:val="-6"/>
          <w:sz w:val="20"/>
          <w:szCs w:val="20"/>
          <w:rtl/>
        </w:rPr>
        <w:t>ت</w:t>
      </w:r>
      <w:r w:rsidRPr="00E4364C">
        <w:rPr>
          <w:rStyle w:val="FootnoteReference"/>
          <w:spacing w:val="-6"/>
          <w:vertAlign w:val="baseline"/>
          <w:rtl/>
        </w:rPr>
        <w:t xml:space="preserve"> ذاته). ولم نعلم من هو مؤلف كتاب </w:t>
      </w:r>
      <w:r>
        <w:rPr>
          <w:rStyle w:val="Char9"/>
          <w:spacing w:val="-6"/>
          <w:sz w:val="20"/>
          <w:szCs w:val="20"/>
          <w:rtl/>
        </w:rPr>
        <w:t>ک</w:t>
      </w:r>
      <w:r w:rsidRPr="008C7124">
        <w:rPr>
          <w:rStyle w:val="Char9"/>
          <w:spacing w:val="-6"/>
          <w:sz w:val="20"/>
          <w:szCs w:val="20"/>
          <w:rtl/>
        </w:rPr>
        <w:t>شتى نجات بشر</w:t>
      </w:r>
      <w:r>
        <w:rPr>
          <w:rStyle w:val="Char9"/>
          <w:spacing w:val="-6"/>
          <w:sz w:val="20"/>
          <w:szCs w:val="20"/>
          <w:rtl/>
        </w:rPr>
        <w:t>ی</w:t>
      </w:r>
      <w:r w:rsidRPr="008C7124">
        <w:rPr>
          <w:rStyle w:val="Char9"/>
          <w:spacing w:val="-6"/>
          <w:sz w:val="20"/>
          <w:szCs w:val="20"/>
          <w:rtl/>
        </w:rPr>
        <w:t>ت</w:t>
      </w:r>
      <w:r w:rsidRPr="00E4364C">
        <w:rPr>
          <w:rStyle w:val="FootnoteReference"/>
          <w:spacing w:val="-6"/>
          <w:vertAlign w:val="baseline"/>
          <w:rtl/>
        </w:rPr>
        <w:t>.</w:t>
      </w:r>
    </w:p>
  </w:footnote>
  <w:footnote w:id="20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هناك في مجلة (</w:t>
      </w:r>
      <w:r w:rsidRPr="008C7124">
        <w:rPr>
          <w:rStyle w:val="Char9"/>
          <w:sz w:val="20"/>
          <w:szCs w:val="20"/>
          <w:rtl/>
        </w:rPr>
        <w:t>الإسلام</w:t>
      </w:r>
      <w:r w:rsidRPr="006E28E9">
        <w:rPr>
          <w:rStyle w:val="FootnoteReference"/>
          <w:vertAlign w:val="baseline"/>
          <w:rtl/>
        </w:rPr>
        <w:t>، طبع تبريز)، وفي بعض المجلات المذهبية الأخرى التي كانت تنتشر في السنوات التالية لـ 1300 هـ.ش</w:t>
      </w:r>
      <w:r w:rsidRPr="006E28E9">
        <w:rPr>
          <w:rFonts w:hint="cs"/>
          <w:rtl/>
        </w:rPr>
        <w:t>،</w:t>
      </w:r>
      <w:r w:rsidRPr="006E28E9">
        <w:rPr>
          <w:rStyle w:val="FootnoteReference"/>
          <w:vertAlign w:val="baseline"/>
          <w:rtl/>
        </w:rPr>
        <w:t xml:space="preserve"> مقالات في هذا الموضوع. ومن المؤلفات التي طُبِعَت في إيران سنة 1323هـ.ش</w:t>
      </w:r>
      <w:r w:rsidRPr="006E28E9">
        <w:rPr>
          <w:rFonts w:hint="cs"/>
          <w:rtl/>
        </w:rPr>
        <w:t xml:space="preserve"> </w:t>
      </w:r>
      <w:r w:rsidRPr="006E28E9">
        <w:rPr>
          <w:rStyle w:val="FootnoteReference"/>
          <w:vertAlign w:val="baseline"/>
          <w:rtl/>
        </w:rPr>
        <w:t>حول هذا الأمر كتاب (</w:t>
      </w:r>
      <w:r>
        <w:rPr>
          <w:rStyle w:val="Char9"/>
          <w:sz w:val="20"/>
          <w:szCs w:val="20"/>
          <w:rtl/>
        </w:rPr>
        <w:t>ک</w:t>
      </w:r>
      <w:r w:rsidRPr="008C7124">
        <w:rPr>
          <w:rStyle w:val="Char9"/>
          <w:sz w:val="20"/>
          <w:szCs w:val="20"/>
          <w:rtl/>
        </w:rPr>
        <w:t>شف الأسرار، رد بر وهاب</w:t>
      </w:r>
      <w:r>
        <w:rPr>
          <w:rStyle w:val="Char9"/>
          <w:sz w:val="20"/>
          <w:szCs w:val="20"/>
          <w:rtl/>
        </w:rPr>
        <w:t>ی</w:t>
      </w:r>
      <w:r w:rsidRPr="008C7124">
        <w:rPr>
          <w:rStyle w:val="Char9"/>
          <w:sz w:val="20"/>
          <w:szCs w:val="20"/>
          <w:rtl/>
        </w:rPr>
        <w:t>ه</w:t>
      </w:r>
      <w:r w:rsidRPr="006E28E9">
        <w:rPr>
          <w:rStyle w:val="FootnoteReference"/>
          <w:vertAlign w:val="baseline"/>
          <w:rtl/>
        </w:rPr>
        <w:t>) الذي نُشِرَ في 328 صفحة.</w:t>
      </w:r>
    </w:p>
  </w:footnote>
  <w:footnote w:id="20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 xml:space="preserve">انظر: </w:t>
      </w:r>
      <w:r w:rsidRPr="008C7124">
        <w:rPr>
          <w:rStyle w:val="Char9"/>
          <w:sz w:val="20"/>
          <w:szCs w:val="20"/>
          <w:rtl/>
        </w:rPr>
        <w:t>وهاب</w:t>
      </w:r>
      <w:r>
        <w:rPr>
          <w:rStyle w:val="Char9"/>
          <w:sz w:val="20"/>
          <w:szCs w:val="20"/>
          <w:rtl/>
        </w:rPr>
        <w:t>ی</w:t>
      </w:r>
      <w:r w:rsidRPr="008C7124">
        <w:rPr>
          <w:rStyle w:val="Char9"/>
          <w:sz w:val="20"/>
          <w:szCs w:val="20"/>
          <w:rtl/>
        </w:rPr>
        <w:t>ت ور</w:t>
      </w:r>
      <w:r>
        <w:rPr>
          <w:rStyle w:val="Char9"/>
          <w:sz w:val="20"/>
          <w:szCs w:val="20"/>
          <w:rtl/>
        </w:rPr>
        <w:t>ی</w:t>
      </w:r>
      <w:r w:rsidRPr="008C7124">
        <w:rPr>
          <w:rStyle w:val="Char9"/>
          <w:sz w:val="20"/>
          <w:szCs w:val="20"/>
          <w:rtl/>
        </w:rPr>
        <w:t>شه</w:t>
      </w:r>
      <w:r w:rsidRPr="006E28E9">
        <w:rPr>
          <w:rStyle w:val="FootnoteReference"/>
          <w:rFonts w:ascii="Times New Roman" w:hAnsi="Times New Roman" w:cs="Times New Roman" w:hint="cs"/>
          <w:b/>
          <w:bCs/>
          <w:vertAlign w:val="baseline"/>
          <w:rtl/>
        </w:rPr>
        <w:t>‌</w:t>
      </w:r>
      <w:r w:rsidRPr="008C7124">
        <w:rPr>
          <w:rStyle w:val="Char9"/>
          <w:sz w:val="20"/>
          <w:szCs w:val="20"/>
          <w:rtl/>
        </w:rPr>
        <w:t>هاى آن</w:t>
      </w:r>
      <w:r w:rsidRPr="006E28E9">
        <w:rPr>
          <w:rFonts w:hint="cs"/>
          <w:rtl/>
        </w:rPr>
        <w:t xml:space="preserve"> [الوهابية وجذورها]</w:t>
      </w:r>
      <w:r w:rsidRPr="006E28E9">
        <w:rPr>
          <w:rStyle w:val="FootnoteReference"/>
          <w:vertAlign w:val="baseline"/>
          <w:rtl/>
        </w:rPr>
        <w:t xml:space="preserve">، ص 188 </w:t>
      </w:r>
      <w:r w:rsidRPr="006E28E9">
        <w:rPr>
          <w:rStyle w:val="FootnoteReference"/>
          <w:rFonts w:ascii="Times New Roman" w:hAnsi="Times New Roman" w:cs="Times New Roman" w:hint="cs"/>
          <w:vertAlign w:val="baseline"/>
          <w:rtl/>
        </w:rPr>
        <w:t>–</w:t>
      </w:r>
      <w:r w:rsidRPr="006E28E9">
        <w:rPr>
          <w:rStyle w:val="FootnoteReference"/>
          <w:vertAlign w:val="baseline"/>
          <w:rtl/>
        </w:rPr>
        <w:t xml:space="preserve"> 189.</w:t>
      </w:r>
    </w:p>
  </w:footnote>
  <w:footnote w:id="20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طُبِعَ هذا الكتاب في السنوات 1320 و 1327 و 1345 هـ.ش في طهران.</w:t>
      </w:r>
    </w:p>
  </w:footnote>
  <w:footnote w:id="20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b/>
          <w:bCs/>
          <w:vertAlign w:val="baseline"/>
          <w:rtl/>
        </w:rPr>
        <w:t>توحيد العبادة</w:t>
      </w:r>
      <w:r w:rsidRPr="006E28E9">
        <w:rPr>
          <w:rStyle w:val="FootnoteReference"/>
          <w:vertAlign w:val="baseline"/>
          <w:rtl/>
        </w:rPr>
        <w:t>، ص 4 (طبعة سنة 1320 ه</w:t>
      </w:r>
      <w:r w:rsidRPr="006E28E9">
        <w:rPr>
          <w:rStyle w:val="FootnoteReference"/>
          <w:rFonts w:hint="cs"/>
          <w:vertAlign w:val="baseline"/>
          <w:rtl/>
        </w:rPr>
        <w:t>ـ.</w:t>
      </w:r>
      <w:r w:rsidRPr="006E28E9">
        <w:rPr>
          <w:rStyle w:val="FootnoteReference"/>
          <w:vertAlign w:val="baseline"/>
          <w:rtl/>
        </w:rPr>
        <w:t>ش، وقد أُرِّخَت مقدمته بتاريخ رمضان 1360ه</w:t>
      </w:r>
      <w:r w:rsidRPr="006E28E9">
        <w:rPr>
          <w:rStyle w:val="FootnoteReference"/>
          <w:rFonts w:hint="cs"/>
          <w:vertAlign w:val="baseline"/>
          <w:rtl/>
        </w:rPr>
        <w:t>ـ</w:t>
      </w:r>
      <w:r w:rsidRPr="006E28E9">
        <w:rPr>
          <w:rStyle w:val="FootnoteReference"/>
          <w:vertAlign w:val="baseline"/>
          <w:rtl/>
        </w:rPr>
        <w:t>.ق).</w:t>
      </w:r>
    </w:p>
  </w:footnote>
  <w:footnote w:id="20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طُبِعَ كتاب تحت الاسم ذاته أي «</w:t>
      </w:r>
      <w:r w:rsidRPr="006E28E9">
        <w:rPr>
          <w:rStyle w:val="FootnoteReference"/>
          <w:rFonts w:hint="cs"/>
          <w:b/>
          <w:bCs/>
          <w:vertAlign w:val="baseline"/>
          <w:rtl/>
        </w:rPr>
        <w:t>محو الموهوم وصحو المعلوم</w:t>
      </w:r>
      <w:r w:rsidRPr="006E28E9">
        <w:rPr>
          <w:rStyle w:val="FootnoteReference"/>
          <w:rFonts w:hint="cs"/>
          <w:vertAlign w:val="baseline"/>
          <w:rtl/>
        </w:rPr>
        <w:t>» في 400 صفحة، من تأليف السيد أسد الله خرقاني، الذي كان لديه إلى حد ما ميول تنويرية ووهابية في فهمه للدين، وقد طُبِع الكتاب بهم</w:t>
      </w:r>
      <w:r w:rsidRPr="006E28E9">
        <w:rPr>
          <w:rFonts w:hint="cs"/>
          <w:rtl/>
        </w:rPr>
        <w:t>َّ</w:t>
      </w:r>
      <w:r w:rsidRPr="006E28E9">
        <w:rPr>
          <w:rStyle w:val="FootnoteReference"/>
          <w:rFonts w:hint="cs"/>
          <w:vertAlign w:val="baseline"/>
          <w:rtl/>
        </w:rPr>
        <w:t>ة آية الله طالقاني. (تجد نسخة مطبوعة من هذا الكتاب في مكتبة حسينية الإرشاد). وهذا يدل على أن ا</w:t>
      </w:r>
      <w:r w:rsidRPr="006E28E9">
        <w:rPr>
          <w:rFonts w:hint="cs"/>
          <w:rtl/>
        </w:rPr>
        <w:t>هتمام</w:t>
      </w:r>
      <w:r w:rsidRPr="006E28E9">
        <w:rPr>
          <w:rStyle w:val="FootnoteReference"/>
          <w:rFonts w:hint="cs"/>
          <w:vertAlign w:val="baseline"/>
          <w:rtl/>
        </w:rPr>
        <w:t xml:space="preserve"> طالقاني بالقرآن</w:t>
      </w:r>
      <w:r w:rsidRPr="006E28E9">
        <w:rPr>
          <w:rFonts w:hint="cs"/>
          <w:rtl/>
        </w:rPr>
        <w:t xml:space="preserve"> واتجاهه القرآني</w:t>
      </w:r>
      <w:r w:rsidRPr="006E28E9">
        <w:rPr>
          <w:rStyle w:val="FootnoteReference"/>
          <w:rFonts w:hint="cs"/>
          <w:vertAlign w:val="baseline"/>
          <w:rtl/>
        </w:rPr>
        <w:t xml:space="preserve"> نابع من مدرسة شريعت سنگ</w:t>
      </w:r>
      <w:r w:rsidRPr="006E28E9">
        <w:rPr>
          <w:rFonts w:hint="cs"/>
          <w:rtl/>
        </w:rPr>
        <w:t>ل</w:t>
      </w:r>
      <w:r w:rsidRPr="006E28E9">
        <w:rPr>
          <w:rStyle w:val="FootnoteReference"/>
          <w:rFonts w:hint="cs"/>
          <w:vertAlign w:val="baseline"/>
          <w:rtl/>
        </w:rPr>
        <w:t>جي وخرقاني</w:t>
      </w:r>
      <w:r w:rsidRPr="006E28E9">
        <w:rPr>
          <w:rFonts w:hint="cs"/>
          <w:rtl/>
        </w:rPr>
        <w:t>،</w:t>
      </w:r>
      <w:r w:rsidRPr="006E28E9">
        <w:rPr>
          <w:rStyle w:val="FootnoteReference"/>
          <w:rFonts w:hint="cs"/>
          <w:vertAlign w:val="baseline"/>
          <w:rtl/>
        </w:rPr>
        <w:t xml:space="preserve"> وليس نتيجة تأثره بالسيد جمال الدين </w:t>
      </w:r>
      <w:r w:rsidRPr="006E28E9">
        <w:rPr>
          <w:rFonts w:hint="cs"/>
          <w:rtl/>
        </w:rPr>
        <w:t xml:space="preserve">[الأسد آبادي، </w:t>
      </w:r>
      <w:r w:rsidRPr="006E28E9">
        <w:rPr>
          <w:rStyle w:val="FootnoteReference"/>
          <w:rFonts w:hint="cs"/>
          <w:vertAlign w:val="baseline"/>
          <w:rtl/>
        </w:rPr>
        <w:t>المعروف بجمال الدين الأفغاني] والشيخ محمد عبده</w:t>
      </w:r>
      <w:r w:rsidRPr="006E28E9">
        <w:rPr>
          <w:rFonts w:hint="cs"/>
          <w:rtl/>
        </w:rPr>
        <w:t>، كما ظنَّ بعضهم</w:t>
      </w:r>
      <w:r w:rsidRPr="006E28E9">
        <w:rPr>
          <w:rStyle w:val="FootnoteReference"/>
          <w:rFonts w:hint="cs"/>
          <w:vertAlign w:val="baseline"/>
          <w:rtl/>
        </w:rPr>
        <w:t xml:space="preserve">. انظروا: </w:t>
      </w:r>
      <w:r w:rsidRPr="008C7124">
        <w:rPr>
          <w:rStyle w:val="Char9"/>
          <w:rFonts w:hint="cs"/>
          <w:sz w:val="20"/>
          <w:szCs w:val="20"/>
          <w:rtl/>
        </w:rPr>
        <w:t>خاطرات پ</w:t>
      </w:r>
      <w:r>
        <w:rPr>
          <w:rStyle w:val="Char9"/>
          <w:rFonts w:hint="cs"/>
          <w:sz w:val="20"/>
          <w:szCs w:val="20"/>
          <w:rtl/>
        </w:rPr>
        <w:t>ی</w:t>
      </w:r>
      <w:r w:rsidRPr="008C7124">
        <w:rPr>
          <w:rStyle w:val="Char9"/>
          <w:rFonts w:hint="cs"/>
          <w:sz w:val="20"/>
          <w:szCs w:val="20"/>
          <w:rtl/>
        </w:rPr>
        <w:t>شگامان</w:t>
      </w:r>
      <w:r w:rsidRPr="006E28E9">
        <w:rPr>
          <w:rStyle w:val="FootnoteReference"/>
          <w:rFonts w:hint="cs"/>
          <w:vertAlign w:val="baseline"/>
          <w:rtl/>
        </w:rPr>
        <w:t xml:space="preserve"> (مذك</w:t>
      </w:r>
      <w:r w:rsidRPr="006E28E9">
        <w:rPr>
          <w:rFonts w:hint="cs"/>
          <w:rtl/>
        </w:rPr>
        <w:t>َّ</w:t>
      </w:r>
      <w:r w:rsidRPr="006E28E9">
        <w:rPr>
          <w:rStyle w:val="FootnoteReference"/>
          <w:rFonts w:hint="cs"/>
          <w:vertAlign w:val="baseline"/>
          <w:rtl/>
        </w:rPr>
        <w:t>رات الرواد)، حاشية الصفحة 87.</w:t>
      </w:r>
    </w:p>
  </w:footnote>
  <w:footnote w:id="207">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جاء في مقدمة كتاب «</w:t>
      </w:r>
      <w:r w:rsidRPr="008C7124">
        <w:rPr>
          <w:rStyle w:val="Char9"/>
          <w:rFonts w:hint="cs"/>
          <w:sz w:val="20"/>
          <w:szCs w:val="20"/>
          <w:rtl/>
        </w:rPr>
        <w:t xml:space="preserve">چند سؤال از </w:t>
      </w:r>
      <w:r>
        <w:rPr>
          <w:rStyle w:val="Char9"/>
          <w:rFonts w:hint="cs"/>
          <w:sz w:val="20"/>
          <w:szCs w:val="20"/>
          <w:rtl/>
        </w:rPr>
        <w:t>ک</w:t>
      </w:r>
      <w:r w:rsidRPr="008C7124">
        <w:rPr>
          <w:rStyle w:val="Char9"/>
          <w:rFonts w:hint="cs"/>
          <w:sz w:val="20"/>
          <w:szCs w:val="20"/>
          <w:rtl/>
        </w:rPr>
        <w:t>سروى</w:t>
      </w:r>
      <w:r w:rsidRPr="006E28E9">
        <w:rPr>
          <w:rFonts w:hint="cs"/>
          <w:rtl/>
        </w:rPr>
        <w:t xml:space="preserve">» (عدة أسئلة موجهة إلى كسروى)، سنة 1323هـ.ش: «لقد طُبِع كتاب </w:t>
      </w:r>
      <w:r w:rsidRPr="006E28E9">
        <w:rPr>
          <w:rFonts w:hint="cs"/>
          <w:b/>
          <w:bCs/>
          <w:rtl/>
        </w:rPr>
        <w:t>محو الموهوم</w:t>
      </w:r>
      <w:r w:rsidRPr="006E28E9">
        <w:rPr>
          <w:rFonts w:hint="cs"/>
          <w:rtl/>
        </w:rPr>
        <w:t xml:space="preserve"> للأستاذ الفقيد المرحوم شريعت سنگلجي، فعلى عُبّاد الأفكار القديمة ألا يغفلوا عن قراءته»!</w:t>
      </w:r>
    </w:p>
  </w:footnote>
  <w:footnote w:id="208">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محو الموهوم</w:t>
      </w:r>
      <w:r w:rsidRPr="006E28E9">
        <w:rPr>
          <w:rFonts w:hint="cs"/>
          <w:rtl/>
        </w:rPr>
        <w:t>، ص 15.</w:t>
      </w:r>
    </w:p>
  </w:footnote>
  <w:footnote w:id="209">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محو الموهوم وصحو المعلوم</w:t>
      </w:r>
      <w:r w:rsidRPr="006E28E9">
        <w:rPr>
          <w:rFonts w:hint="cs"/>
          <w:rtl/>
        </w:rPr>
        <w:t>، ص 3.</w:t>
      </w:r>
    </w:p>
  </w:footnote>
  <w:footnote w:id="210">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وهاب</w:t>
      </w:r>
      <w:r>
        <w:rPr>
          <w:rStyle w:val="Char9"/>
          <w:rFonts w:hint="cs"/>
          <w:sz w:val="20"/>
          <w:szCs w:val="20"/>
          <w:rtl/>
        </w:rPr>
        <w:t>ی</w:t>
      </w:r>
      <w:r w:rsidRPr="008C7124">
        <w:rPr>
          <w:rStyle w:val="Char9"/>
          <w:rFonts w:hint="cs"/>
          <w:sz w:val="20"/>
          <w:szCs w:val="20"/>
          <w:rtl/>
        </w:rPr>
        <w:t>ت و ر</w:t>
      </w:r>
      <w:r>
        <w:rPr>
          <w:rStyle w:val="Char9"/>
          <w:rFonts w:hint="cs"/>
          <w:sz w:val="20"/>
          <w:szCs w:val="20"/>
          <w:rtl/>
        </w:rPr>
        <w:t>ی</w:t>
      </w:r>
      <w:r w:rsidRPr="008C7124">
        <w:rPr>
          <w:rStyle w:val="Char9"/>
          <w:rFonts w:hint="cs"/>
          <w:sz w:val="20"/>
          <w:szCs w:val="20"/>
          <w:rtl/>
        </w:rPr>
        <w:t>شه</w:t>
      </w:r>
      <w:r w:rsidRPr="006E28E9">
        <w:rPr>
          <w:rFonts w:ascii="Times New Roman" w:hAnsi="Times New Roman" w:cs="Times New Roman" w:hint="cs"/>
          <w:b/>
          <w:bCs/>
          <w:rtl/>
        </w:rPr>
        <w:t>‌</w:t>
      </w:r>
      <w:r w:rsidRPr="008C7124">
        <w:rPr>
          <w:rStyle w:val="Char9"/>
          <w:rFonts w:hint="cs"/>
          <w:sz w:val="20"/>
          <w:szCs w:val="20"/>
          <w:rtl/>
        </w:rPr>
        <w:t>هاى آن</w:t>
      </w:r>
      <w:r w:rsidRPr="006E28E9">
        <w:rPr>
          <w:rFonts w:hint="cs"/>
          <w:rtl/>
        </w:rPr>
        <w:t xml:space="preserve"> [الوهابية وجذورها]، ص 167 - 168.</w:t>
      </w:r>
    </w:p>
  </w:footnote>
  <w:footnote w:id="211">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انظروا: </w:t>
      </w:r>
      <w:r w:rsidRPr="008C7124">
        <w:rPr>
          <w:rStyle w:val="Char9"/>
          <w:rFonts w:hint="cs"/>
          <w:sz w:val="20"/>
          <w:szCs w:val="20"/>
          <w:rtl/>
        </w:rPr>
        <w:t>اسنادى از مطبوعات و احزاب دوره رضاشاه</w:t>
      </w:r>
      <w:r w:rsidRPr="006E28E9">
        <w:rPr>
          <w:rFonts w:hint="cs"/>
          <w:rtl/>
        </w:rPr>
        <w:t xml:space="preserve"> [أي وثائق عن المطبوعات والأحزاب في عهد الملك رضا شاه]، ص 136، حيث أُشير في ذلك الكتاب أن ذلك الصحفي توقّف عن حملاته ضد الدين احتراماً لشهر رمضان. وكان مديراً لمجلة «</w:t>
      </w:r>
      <w:r w:rsidRPr="008C7124">
        <w:rPr>
          <w:rStyle w:val="Char9"/>
          <w:rFonts w:hint="cs"/>
          <w:sz w:val="20"/>
          <w:szCs w:val="20"/>
          <w:rtl/>
        </w:rPr>
        <w:t>صداى اصفهان</w:t>
      </w:r>
      <w:r w:rsidRPr="006E28E9">
        <w:rPr>
          <w:rFonts w:hint="cs"/>
          <w:rtl/>
        </w:rPr>
        <w:t>» [صوت أصفهان] والتي كانت تُدار بدعم مالي من قبل البلدية.</w:t>
      </w:r>
    </w:p>
  </w:footnote>
  <w:footnote w:id="212">
    <w:p w:rsidR="008C7124" w:rsidRDefault="008C7124" w:rsidP="0092648A">
      <w:pPr>
        <w:pStyle w:val="FootnoteText"/>
        <w:rPr>
          <w:rtl/>
        </w:rPr>
      </w:pPr>
      <w:r w:rsidRPr="006E28E9">
        <w:rPr>
          <w:rStyle w:val="FootnoteReference"/>
          <w:rFonts w:ascii="Arabic11 BT" w:hAnsi="Arabic11 BT" w:cs="Arabic11 BT"/>
          <w:vertAlign w:val="baseline"/>
        </w:rPr>
        <w:footnoteRef/>
      </w:r>
      <w:r w:rsidRPr="006E28E9">
        <w:rPr>
          <w:rFonts w:hint="cs"/>
          <w:rtl/>
        </w:rPr>
        <w:t xml:space="preserve">. انظروا: </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وان م</w:t>
      </w:r>
      <w:r>
        <w:rPr>
          <w:rStyle w:val="Char9"/>
          <w:rFonts w:hint="cs"/>
          <w:sz w:val="20"/>
          <w:szCs w:val="20"/>
          <w:rtl/>
        </w:rPr>
        <w:t>ک</w:t>
      </w:r>
      <w:r w:rsidRPr="008C7124">
        <w:rPr>
          <w:rStyle w:val="Char9"/>
          <w:rFonts w:hint="cs"/>
          <w:sz w:val="20"/>
          <w:szCs w:val="20"/>
          <w:rtl/>
        </w:rPr>
        <w:t>رم أصفهان</w:t>
      </w:r>
      <w:r>
        <w:rPr>
          <w:rStyle w:val="Char9"/>
          <w:rFonts w:hint="cs"/>
          <w:sz w:val="20"/>
          <w:szCs w:val="20"/>
          <w:rtl/>
        </w:rPr>
        <w:t>ی</w:t>
      </w:r>
      <w:r w:rsidRPr="006E28E9">
        <w:rPr>
          <w:rFonts w:hint="cs"/>
          <w:rtl/>
        </w:rPr>
        <w:t xml:space="preserve"> (طبع أصفهان، بدون تاريخ). في ترجمته للشاعر مكرم أصفهاني أطلق وحيد دستجردي عليه لقب «ترياق سم الخرافات»، وذكر بالتفصيل مساعيه في مواجهة علماء أصفهان. ولا يجوز أن ننكر أن سوق بعض الأمور المشابهة للشعائر والطقوس كان أحياناً يروج بشدة مما يقدِّم المجال لمثل تلك الهجمات. كان موضوع ذلك النقد ينصبُّ في أغلبه على المعجزات المنسوبة إلى أحفاد وذراري الأئمة، ومن جملتهم الإمام زاده (أي حفيد الإمام) هارون ولايت، وعلى مواكب لطم الصدور وعلى حمل أجساد الأموات إلى العتبات [والطواف بها حول مراقد الأئمة]، وأمثال هذه الأمور. قال الشاعر مكرم في أحد قصائده (</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وان م</w:t>
      </w:r>
      <w:r>
        <w:rPr>
          <w:rStyle w:val="Char9"/>
          <w:rFonts w:hint="cs"/>
          <w:sz w:val="20"/>
          <w:szCs w:val="20"/>
          <w:rtl/>
        </w:rPr>
        <w:t>ک</w:t>
      </w:r>
      <w:r w:rsidRPr="008C7124">
        <w:rPr>
          <w:rStyle w:val="Char9"/>
          <w:rFonts w:hint="cs"/>
          <w:sz w:val="20"/>
          <w:szCs w:val="20"/>
          <w:rtl/>
        </w:rPr>
        <w:t>رم</w:t>
      </w:r>
      <w:r w:rsidRPr="006E28E9">
        <w:rPr>
          <w:rFonts w:hint="cs"/>
          <w:rtl/>
        </w:rPr>
        <w:t>، ص 383):</w:t>
      </w:r>
    </w:p>
    <w:tbl>
      <w:tblPr>
        <w:tblStyle w:val="TableGrid"/>
        <w:bidiVisual/>
        <w:tblW w:w="0" w:type="auto"/>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977"/>
      </w:tblGrid>
      <w:tr w:rsidR="008C7124" w:rsidTr="00E4364C">
        <w:tc>
          <w:tcPr>
            <w:tcW w:w="2835" w:type="dxa"/>
          </w:tcPr>
          <w:p w:rsidR="008C7124" w:rsidRPr="00E4364C" w:rsidRDefault="008C7124" w:rsidP="00E4364C">
            <w:pPr>
              <w:pStyle w:val="FootnoteText"/>
              <w:spacing w:after="0"/>
              <w:ind w:left="0" w:firstLine="0"/>
              <w:rPr>
                <w:sz w:val="2"/>
                <w:szCs w:val="2"/>
                <w:rtl/>
              </w:rPr>
            </w:pPr>
            <w:r w:rsidRPr="006E28E9">
              <w:rPr>
                <w:rFonts w:hint="cs"/>
                <w:rtl/>
              </w:rPr>
              <w:t>جاء مكرم لمحاربة الخرافات</w:t>
            </w:r>
            <w:r>
              <w:rPr>
                <w:rtl/>
              </w:rPr>
              <w:br/>
            </w:r>
          </w:p>
        </w:tc>
        <w:tc>
          <w:tcPr>
            <w:tcW w:w="567" w:type="dxa"/>
          </w:tcPr>
          <w:p w:rsidR="008C7124" w:rsidRDefault="008C7124" w:rsidP="00E4364C">
            <w:pPr>
              <w:pStyle w:val="FootnoteText"/>
              <w:spacing w:after="0"/>
              <w:ind w:left="0" w:firstLine="0"/>
              <w:rPr>
                <w:rtl/>
              </w:rPr>
            </w:pPr>
          </w:p>
        </w:tc>
        <w:tc>
          <w:tcPr>
            <w:tcW w:w="2977" w:type="dxa"/>
          </w:tcPr>
          <w:p w:rsidR="008C7124" w:rsidRPr="00E4364C" w:rsidRDefault="008C7124" w:rsidP="00E4364C">
            <w:pPr>
              <w:pStyle w:val="FootnoteText"/>
              <w:spacing w:after="0"/>
              <w:ind w:left="0" w:firstLine="0"/>
              <w:rPr>
                <w:sz w:val="2"/>
                <w:szCs w:val="2"/>
                <w:rtl/>
              </w:rPr>
            </w:pPr>
            <w:r w:rsidRPr="006E28E9">
              <w:rPr>
                <w:rFonts w:hint="cs"/>
                <w:rtl/>
              </w:rPr>
              <w:t>فأصبح مبغوضاً من القوم المفسدين</w:t>
            </w:r>
            <w:r>
              <w:rPr>
                <w:rtl/>
              </w:rPr>
              <w:br/>
            </w:r>
          </w:p>
        </w:tc>
      </w:tr>
      <w:tr w:rsidR="008C7124" w:rsidTr="00E4364C">
        <w:tc>
          <w:tcPr>
            <w:tcW w:w="2835" w:type="dxa"/>
          </w:tcPr>
          <w:p w:rsidR="008C7124" w:rsidRPr="00E4364C" w:rsidRDefault="008C7124" w:rsidP="00E4364C">
            <w:pPr>
              <w:pStyle w:val="FootnoteText"/>
              <w:spacing w:after="0"/>
              <w:ind w:left="0" w:firstLine="0"/>
              <w:rPr>
                <w:sz w:val="2"/>
                <w:szCs w:val="2"/>
                <w:rtl/>
              </w:rPr>
            </w:pPr>
            <w:r w:rsidRPr="006E28E9">
              <w:rPr>
                <w:rFonts w:hint="cs"/>
                <w:rtl/>
              </w:rPr>
              <w:t>لم يُخطِئ مكرم في حق هذا الشعب</w:t>
            </w:r>
            <w:r>
              <w:rPr>
                <w:rtl/>
              </w:rPr>
              <w:br/>
            </w:r>
          </w:p>
        </w:tc>
        <w:tc>
          <w:tcPr>
            <w:tcW w:w="567" w:type="dxa"/>
          </w:tcPr>
          <w:p w:rsidR="008C7124" w:rsidRDefault="008C7124" w:rsidP="00E4364C">
            <w:pPr>
              <w:pStyle w:val="FootnoteText"/>
              <w:spacing w:after="0"/>
              <w:ind w:left="0" w:firstLine="0"/>
              <w:rPr>
                <w:rtl/>
              </w:rPr>
            </w:pPr>
          </w:p>
        </w:tc>
        <w:tc>
          <w:tcPr>
            <w:tcW w:w="2977" w:type="dxa"/>
          </w:tcPr>
          <w:p w:rsidR="008C7124" w:rsidRPr="00E4364C" w:rsidRDefault="008C7124" w:rsidP="00E4364C">
            <w:pPr>
              <w:pStyle w:val="FootnoteText"/>
              <w:spacing w:after="0"/>
              <w:ind w:left="0" w:firstLine="0"/>
              <w:rPr>
                <w:sz w:val="2"/>
                <w:szCs w:val="2"/>
                <w:rtl/>
              </w:rPr>
            </w:pPr>
            <w:r w:rsidRPr="006E28E9">
              <w:rPr>
                <w:rFonts w:hint="cs"/>
                <w:rtl/>
              </w:rPr>
              <w:t>الذي أصبح مُسْتَذلاً لفرقة الأشــرار</w:t>
            </w:r>
            <w:r>
              <w:rPr>
                <w:rtl/>
              </w:rPr>
              <w:br/>
            </w:r>
          </w:p>
        </w:tc>
      </w:tr>
      <w:tr w:rsidR="008C7124" w:rsidTr="00E4364C">
        <w:tc>
          <w:tcPr>
            <w:tcW w:w="2835" w:type="dxa"/>
          </w:tcPr>
          <w:p w:rsidR="008C7124" w:rsidRPr="00E4364C" w:rsidRDefault="008C7124" w:rsidP="00E4364C">
            <w:pPr>
              <w:pStyle w:val="FootnoteText"/>
              <w:spacing w:after="0"/>
              <w:ind w:left="0" w:firstLine="0"/>
              <w:rPr>
                <w:sz w:val="2"/>
                <w:szCs w:val="2"/>
                <w:rtl/>
              </w:rPr>
            </w:pPr>
            <w:r w:rsidRPr="006E28E9">
              <w:rPr>
                <w:rFonts w:hint="cs"/>
                <w:rtl/>
              </w:rPr>
              <w:t>قال مكرم دائماً لهؤلاء الناس</w:t>
            </w:r>
            <w:r>
              <w:rPr>
                <w:rtl/>
              </w:rPr>
              <w:br/>
            </w:r>
          </w:p>
        </w:tc>
        <w:tc>
          <w:tcPr>
            <w:tcW w:w="567" w:type="dxa"/>
          </w:tcPr>
          <w:p w:rsidR="008C7124" w:rsidRDefault="008C7124" w:rsidP="00E4364C">
            <w:pPr>
              <w:pStyle w:val="FootnoteText"/>
              <w:spacing w:after="0"/>
              <w:ind w:left="0" w:firstLine="0"/>
              <w:rPr>
                <w:rtl/>
              </w:rPr>
            </w:pPr>
          </w:p>
        </w:tc>
        <w:tc>
          <w:tcPr>
            <w:tcW w:w="2977" w:type="dxa"/>
          </w:tcPr>
          <w:p w:rsidR="008C7124" w:rsidRPr="00E4364C" w:rsidRDefault="008C7124" w:rsidP="00E4364C">
            <w:pPr>
              <w:pStyle w:val="FootnoteText"/>
              <w:spacing w:after="0"/>
              <w:ind w:left="0" w:firstLine="0"/>
              <w:rPr>
                <w:sz w:val="2"/>
                <w:szCs w:val="2"/>
                <w:rtl/>
              </w:rPr>
            </w:pPr>
            <w:r w:rsidRPr="006E28E9">
              <w:rPr>
                <w:rFonts w:hint="cs"/>
                <w:rtl/>
              </w:rPr>
              <w:t>إن المعجزة يعطيها دائماً الحق ويصنعها</w:t>
            </w:r>
            <w:r>
              <w:rPr>
                <w:rtl/>
              </w:rPr>
              <w:br/>
            </w:r>
          </w:p>
        </w:tc>
      </w:tr>
    </w:tbl>
    <w:p w:rsidR="008C7124" w:rsidRPr="00E4364C" w:rsidRDefault="008C7124" w:rsidP="00E4364C">
      <w:pPr>
        <w:pStyle w:val="FootnoteText"/>
        <w:rPr>
          <w:sz w:val="2"/>
          <w:szCs w:val="2"/>
        </w:rPr>
      </w:pPr>
      <w:r w:rsidRPr="00E4364C">
        <w:rPr>
          <w:rFonts w:hint="cs"/>
          <w:sz w:val="2"/>
          <w:szCs w:val="2"/>
          <w:rtl/>
        </w:rPr>
        <w:tab/>
      </w:r>
      <w:r w:rsidRPr="00E4364C">
        <w:rPr>
          <w:rFonts w:hint="cs"/>
          <w:sz w:val="2"/>
          <w:szCs w:val="2"/>
          <w:rtl/>
        </w:rPr>
        <w:tab/>
      </w:r>
    </w:p>
  </w:footnote>
  <w:footnote w:id="213">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tl/>
        </w:rPr>
        <w:t>صاحب الزماني</w:t>
      </w:r>
      <w:r w:rsidRPr="006E28E9">
        <w:rPr>
          <w:rFonts w:hint="cs"/>
          <w:rtl/>
        </w:rPr>
        <w:t>،</w:t>
      </w:r>
      <w:r w:rsidRPr="008C7124">
        <w:rPr>
          <w:rStyle w:val="Char9"/>
          <w:sz w:val="20"/>
          <w:szCs w:val="20"/>
          <w:rtl/>
        </w:rPr>
        <w:t xml:space="preserve"> </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باچه</w:t>
      </w:r>
      <w:r w:rsidRPr="006E28E9">
        <w:rPr>
          <w:rFonts w:ascii="Times New Roman" w:hAnsi="Times New Roman" w:cs="Times New Roman" w:hint="cs"/>
          <w:b/>
          <w:bCs/>
          <w:rtl/>
        </w:rPr>
        <w:t>‌</w:t>
      </w:r>
      <w:r w:rsidRPr="008C7124">
        <w:rPr>
          <w:rStyle w:val="Char9"/>
          <w:rFonts w:hint="cs"/>
          <w:sz w:val="20"/>
          <w:szCs w:val="20"/>
          <w:rtl/>
        </w:rPr>
        <w:t>اى بر رهبر</w:t>
      </w:r>
      <w:r>
        <w:rPr>
          <w:rStyle w:val="Char9"/>
          <w:rFonts w:hint="cs"/>
          <w:sz w:val="20"/>
          <w:szCs w:val="20"/>
          <w:rtl/>
        </w:rPr>
        <w:t>ی</w:t>
      </w:r>
      <w:r w:rsidRPr="008C7124">
        <w:rPr>
          <w:rStyle w:val="Char9"/>
          <w:rFonts w:hint="cs"/>
          <w:sz w:val="20"/>
          <w:szCs w:val="20"/>
          <w:rtl/>
        </w:rPr>
        <w:t xml:space="preserve"> </w:t>
      </w:r>
      <w:r w:rsidRPr="006E28E9">
        <w:rPr>
          <w:rtl/>
        </w:rPr>
        <w:t xml:space="preserve">[مقدمة على الزعامة]، </w:t>
      </w:r>
      <w:r w:rsidRPr="006E28E9">
        <w:rPr>
          <w:rFonts w:hint="cs"/>
          <w:rtl/>
        </w:rPr>
        <w:t>صص 133 - 134، 137 و140.</w:t>
      </w:r>
    </w:p>
  </w:footnote>
  <w:footnote w:id="214">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ص 140.</w:t>
      </w:r>
    </w:p>
  </w:footnote>
  <w:footnote w:id="215">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 xml:space="preserve">به مناسبت </w:t>
      </w:r>
      <w:r>
        <w:rPr>
          <w:rStyle w:val="Char9"/>
          <w:rFonts w:hint="cs"/>
          <w:sz w:val="20"/>
          <w:szCs w:val="20"/>
          <w:rtl/>
        </w:rPr>
        <w:t>یک</w:t>
      </w:r>
      <w:r w:rsidRPr="008C7124">
        <w:rPr>
          <w:rStyle w:val="Char9"/>
          <w:rFonts w:hint="cs"/>
          <w:sz w:val="20"/>
          <w:szCs w:val="20"/>
          <w:rtl/>
        </w:rPr>
        <w:t>م</w:t>
      </w:r>
      <w:r>
        <w:rPr>
          <w:rStyle w:val="Char9"/>
          <w:rFonts w:hint="cs"/>
          <w:sz w:val="20"/>
          <w:szCs w:val="20"/>
          <w:rtl/>
        </w:rPr>
        <w:t>ی</w:t>
      </w:r>
      <w:r w:rsidRPr="008C7124">
        <w:rPr>
          <w:rStyle w:val="Char9"/>
          <w:rFonts w:hint="cs"/>
          <w:sz w:val="20"/>
          <w:szCs w:val="20"/>
          <w:rtl/>
        </w:rPr>
        <w:t>ن سالگرد شر</w:t>
      </w:r>
      <w:r>
        <w:rPr>
          <w:rStyle w:val="Char9"/>
          <w:rFonts w:hint="cs"/>
          <w:sz w:val="20"/>
          <w:szCs w:val="20"/>
          <w:rtl/>
        </w:rPr>
        <w:t>ی</w:t>
      </w:r>
      <w:r w:rsidRPr="008C7124">
        <w:rPr>
          <w:rStyle w:val="Char9"/>
          <w:rFonts w:hint="cs"/>
          <w:sz w:val="20"/>
          <w:szCs w:val="20"/>
          <w:rtl/>
        </w:rPr>
        <w:t>عت</w:t>
      </w:r>
      <w:r w:rsidRPr="006E28E9">
        <w:rPr>
          <w:rFonts w:hint="cs"/>
          <w:rtl/>
        </w:rPr>
        <w:t xml:space="preserve"> [بمناسبة الذكرى السنوية الأولى لوفاة شريعت]، ص 9.</w:t>
      </w:r>
    </w:p>
  </w:footnote>
  <w:footnote w:id="216">
    <w:p w:rsidR="008C7124" w:rsidRPr="006E28E9" w:rsidRDefault="008C7124" w:rsidP="0092648A">
      <w:pPr>
        <w:pStyle w:val="FootnoteText"/>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 xml:space="preserve">به مناسبت </w:t>
      </w:r>
      <w:r>
        <w:rPr>
          <w:rStyle w:val="Char9"/>
          <w:rFonts w:hint="cs"/>
          <w:sz w:val="20"/>
          <w:szCs w:val="20"/>
          <w:rtl/>
        </w:rPr>
        <w:t>یک</w:t>
      </w:r>
      <w:r w:rsidRPr="008C7124">
        <w:rPr>
          <w:rStyle w:val="Char9"/>
          <w:rFonts w:hint="cs"/>
          <w:sz w:val="20"/>
          <w:szCs w:val="20"/>
          <w:rtl/>
        </w:rPr>
        <w:t>م</w:t>
      </w:r>
      <w:r>
        <w:rPr>
          <w:rStyle w:val="Char9"/>
          <w:rFonts w:hint="cs"/>
          <w:sz w:val="20"/>
          <w:szCs w:val="20"/>
          <w:rtl/>
        </w:rPr>
        <w:t>ی</w:t>
      </w:r>
      <w:r w:rsidRPr="008C7124">
        <w:rPr>
          <w:rStyle w:val="Char9"/>
          <w:rFonts w:hint="cs"/>
          <w:sz w:val="20"/>
          <w:szCs w:val="20"/>
          <w:rtl/>
        </w:rPr>
        <w:t>ن سالگرد شر</w:t>
      </w:r>
      <w:r>
        <w:rPr>
          <w:rStyle w:val="Char9"/>
          <w:rFonts w:hint="cs"/>
          <w:sz w:val="20"/>
          <w:szCs w:val="20"/>
          <w:rtl/>
        </w:rPr>
        <w:t>ی</w:t>
      </w:r>
      <w:r w:rsidRPr="008C7124">
        <w:rPr>
          <w:rStyle w:val="Char9"/>
          <w:rFonts w:hint="cs"/>
          <w:sz w:val="20"/>
          <w:szCs w:val="20"/>
          <w:rtl/>
        </w:rPr>
        <w:t>عت</w:t>
      </w:r>
      <w:r w:rsidRPr="006E28E9">
        <w:rPr>
          <w:rFonts w:hint="cs"/>
          <w:rtl/>
        </w:rPr>
        <w:t xml:space="preserve"> [بمناسبة الذكرى السنوية الأولى لوفاة شريعت]، ص 51-52. </w:t>
      </w:r>
    </w:p>
  </w:footnote>
  <w:footnote w:id="217">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ص 71.</w:t>
      </w:r>
    </w:p>
  </w:footnote>
  <w:footnote w:id="218">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صص 72-79، 83-87.</w:t>
      </w:r>
    </w:p>
  </w:footnote>
  <w:footnote w:id="219">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w:t>
      </w:r>
    </w:p>
  </w:footnote>
  <w:footnote w:id="220">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rPr>
        <w:t>. كَتَبْنَا كتابًا مستقلاً عنوانه: «</w:t>
      </w:r>
      <w:r w:rsidRPr="008C7124">
        <w:rPr>
          <w:rStyle w:val="Char9"/>
          <w:rFonts w:hint="cs"/>
          <w:sz w:val="20"/>
          <w:szCs w:val="20"/>
          <w:rtl/>
        </w:rPr>
        <w:t>س</w:t>
      </w:r>
      <w:r>
        <w:rPr>
          <w:rStyle w:val="Char9"/>
          <w:rFonts w:hint="cs"/>
          <w:sz w:val="20"/>
          <w:szCs w:val="20"/>
          <w:rtl/>
        </w:rPr>
        <w:t>ی</w:t>
      </w:r>
      <w:r w:rsidRPr="008C7124">
        <w:rPr>
          <w:rStyle w:val="Char9"/>
          <w:rFonts w:hint="cs"/>
          <w:sz w:val="20"/>
          <w:szCs w:val="20"/>
          <w:rtl/>
        </w:rPr>
        <w:t>د أسد الله خرقان</w:t>
      </w:r>
      <w:r>
        <w:rPr>
          <w:rStyle w:val="Char9"/>
          <w:rFonts w:hint="cs"/>
          <w:sz w:val="20"/>
          <w:szCs w:val="20"/>
          <w:rtl/>
        </w:rPr>
        <w:t>ی</w:t>
      </w:r>
      <w:r w:rsidRPr="008C7124">
        <w:rPr>
          <w:rStyle w:val="Char9"/>
          <w:rFonts w:hint="cs"/>
          <w:sz w:val="20"/>
          <w:szCs w:val="20"/>
          <w:rtl/>
        </w:rPr>
        <w:t>، روحان</w:t>
      </w:r>
      <w:r>
        <w:rPr>
          <w:rStyle w:val="Char9"/>
          <w:rFonts w:hint="cs"/>
          <w:sz w:val="20"/>
          <w:szCs w:val="20"/>
          <w:rtl/>
        </w:rPr>
        <w:t>ی</w:t>
      </w:r>
      <w:r w:rsidRPr="008C7124">
        <w:rPr>
          <w:rStyle w:val="Char9"/>
          <w:rFonts w:hint="cs"/>
          <w:sz w:val="20"/>
          <w:szCs w:val="20"/>
          <w:rtl/>
        </w:rPr>
        <w:t xml:space="preserve"> نوگرا</w:t>
      </w:r>
      <w:r>
        <w:rPr>
          <w:rStyle w:val="Char9"/>
          <w:rFonts w:hint="cs"/>
          <w:sz w:val="20"/>
          <w:szCs w:val="20"/>
          <w:rtl/>
        </w:rPr>
        <w:t>ی</w:t>
      </w:r>
      <w:r w:rsidRPr="008C7124">
        <w:rPr>
          <w:rStyle w:val="Char9"/>
          <w:rFonts w:hint="cs"/>
          <w:sz w:val="20"/>
          <w:szCs w:val="20"/>
          <w:rtl/>
        </w:rPr>
        <w:t xml:space="preserve"> عصر مشروطه ورضا شاه</w:t>
      </w:r>
      <w:r w:rsidRPr="006E28E9">
        <w:rPr>
          <w:rFonts w:hint="cs"/>
          <w:rtl/>
        </w:rPr>
        <w:t>» [السيد أسد الله خرقاني، عالم الدين المتجدد في عصر النهضة الدستورية وعصر رضا شاه]، وقد طبعه مركز وثائق الثورة الإسلامية عام 1382 هـ.ش.</w:t>
      </w:r>
    </w:p>
  </w:footnote>
  <w:footnote w:id="221">
    <w:p w:rsidR="008C7124" w:rsidRPr="006E28E9" w:rsidRDefault="008C7124" w:rsidP="0092648A">
      <w:pPr>
        <w:pStyle w:val="FootnoteText"/>
      </w:pPr>
      <w:r w:rsidRPr="006E28E9">
        <w:rPr>
          <w:rStyle w:val="FootnoteReference"/>
          <w:rFonts w:ascii="Arabic11 BT" w:hAnsi="Arabic11 BT" w:cs="Arabic11 BT"/>
          <w:vertAlign w:val="baseline"/>
        </w:rPr>
        <w:footnoteRef/>
      </w:r>
      <w:r w:rsidRPr="006E28E9">
        <w:rPr>
          <w:rFonts w:hint="cs"/>
          <w:rtl/>
        </w:rPr>
        <w:t xml:space="preserve">. سوف نرى لاحقًا أنه عاد من النجف إلى إيران حوالي سنة 1328 هـ.ق، وبناءً على ذلك لا يمكن أن يكون تاريخ ذهابه للنجف المذكور هنا، أي سنة 1284 هـ.ق، تاريخًا دقيقًا. وطبقًا لكلام خرقاني نفسه، أمضى في النجف 25 سنةً، وبناءً على ذلك لابد أن يكون تاريخ ذهابه إلى النجف هو سنة 1303 هـ.ق أو ما يقرب من ذلك. </w:t>
      </w:r>
    </w:p>
  </w:footnote>
  <w:footnote w:id="222">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lang w:bidi="ar-SY"/>
        </w:rPr>
        <w:t>محو الموهوم</w:t>
      </w:r>
      <w:r w:rsidRPr="006E28E9">
        <w:rPr>
          <w:rFonts w:hint="cs"/>
          <w:rtl/>
          <w:lang w:bidi="ar-SY"/>
        </w:rPr>
        <w:t xml:space="preserve"> </w:t>
      </w:r>
      <w:r w:rsidRPr="006E28E9">
        <w:rPr>
          <w:rFonts w:hint="cs"/>
          <w:b/>
          <w:bCs/>
          <w:rtl/>
          <w:lang w:bidi="ar-SY"/>
        </w:rPr>
        <w:t>وصحو المعلوم</w:t>
      </w:r>
      <w:r w:rsidRPr="006E28E9">
        <w:rPr>
          <w:rFonts w:hint="cs"/>
          <w:rtl/>
          <w:lang w:bidi="ar-SY"/>
        </w:rPr>
        <w:t>، مقدمة آية الله طالقاني، الصفحة ي.</w:t>
      </w:r>
    </w:p>
  </w:footnote>
  <w:footnote w:id="223">
    <w:p w:rsidR="008C7124" w:rsidRPr="006E28E9" w:rsidRDefault="008C7124" w:rsidP="0092648A">
      <w:pPr>
        <w:pStyle w:val="FootnoteText"/>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ح</w:t>
      </w:r>
      <w:r>
        <w:rPr>
          <w:rStyle w:val="Char9"/>
          <w:rFonts w:hint="cs"/>
          <w:sz w:val="20"/>
          <w:szCs w:val="20"/>
          <w:rtl/>
        </w:rPr>
        <w:t>ی</w:t>
      </w:r>
      <w:r w:rsidRPr="008C7124">
        <w:rPr>
          <w:rStyle w:val="Char9"/>
          <w:rFonts w:hint="cs"/>
          <w:sz w:val="20"/>
          <w:szCs w:val="20"/>
          <w:rtl/>
        </w:rPr>
        <w:t xml:space="preserve">ات </w:t>
      </w:r>
      <w:r>
        <w:rPr>
          <w:rStyle w:val="Char9"/>
          <w:rFonts w:hint="cs"/>
          <w:sz w:val="20"/>
          <w:szCs w:val="20"/>
          <w:rtl/>
        </w:rPr>
        <w:t>ی</w:t>
      </w:r>
      <w:r w:rsidRPr="008C7124">
        <w:rPr>
          <w:rStyle w:val="Char9"/>
          <w:rFonts w:hint="cs"/>
          <w:sz w:val="20"/>
          <w:szCs w:val="20"/>
          <w:rtl/>
        </w:rPr>
        <w:t>ح</w:t>
      </w:r>
      <w:r>
        <w:rPr>
          <w:rStyle w:val="Char9"/>
          <w:rFonts w:hint="cs"/>
          <w:sz w:val="20"/>
          <w:szCs w:val="20"/>
          <w:rtl/>
        </w:rPr>
        <w:t>ی</w:t>
      </w:r>
      <w:r w:rsidRPr="008C7124">
        <w:rPr>
          <w:rStyle w:val="Char9"/>
          <w:rFonts w:hint="cs"/>
          <w:sz w:val="20"/>
          <w:szCs w:val="20"/>
          <w:rtl/>
        </w:rPr>
        <w:t>ى</w:t>
      </w:r>
      <w:r w:rsidRPr="006E28E9">
        <w:rPr>
          <w:rFonts w:hint="cs"/>
          <w:rtl/>
        </w:rPr>
        <w:t>، (يحيى دولت آبادي، طهران، عطار، 1371) ج 1، ص 59 - 60.</w:t>
      </w:r>
    </w:p>
  </w:footnote>
  <w:footnote w:id="224">
    <w:p w:rsidR="008C7124" w:rsidRPr="006E28E9" w:rsidRDefault="008C7124" w:rsidP="0092648A">
      <w:pPr>
        <w:pStyle w:val="FootnoteText"/>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اسناد ومدار</w:t>
      </w:r>
      <w:r>
        <w:rPr>
          <w:rStyle w:val="Char9"/>
          <w:rFonts w:hint="cs"/>
          <w:sz w:val="20"/>
          <w:szCs w:val="20"/>
          <w:rtl/>
        </w:rPr>
        <w:t>ک</w:t>
      </w:r>
      <w:r w:rsidRPr="008C7124">
        <w:rPr>
          <w:rStyle w:val="Char9"/>
          <w:rFonts w:hint="cs"/>
          <w:sz w:val="20"/>
          <w:szCs w:val="20"/>
          <w:rtl/>
        </w:rPr>
        <w:t xml:space="preserve"> درباره س</w:t>
      </w:r>
      <w:r>
        <w:rPr>
          <w:rStyle w:val="Char9"/>
          <w:rFonts w:hint="cs"/>
          <w:sz w:val="20"/>
          <w:szCs w:val="20"/>
          <w:rtl/>
        </w:rPr>
        <w:t>ی</w:t>
      </w:r>
      <w:r w:rsidRPr="008C7124">
        <w:rPr>
          <w:rStyle w:val="Char9"/>
          <w:rFonts w:hint="cs"/>
          <w:sz w:val="20"/>
          <w:szCs w:val="20"/>
          <w:rtl/>
        </w:rPr>
        <w:t>د جمال الد</w:t>
      </w:r>
      <w:r>
        <w:rPr>
          <w:rStyle w:val="Char9"/>
          <w:rFonts w:hint="cs"/>
          <w:sz w:val="20"/>
          <w:szCs w:val="20"/>
          <w:rtl/>
        </w:rPr>
        <w:t>ی</w:t>
      </w:r>
      <w:r w:rsidRPr="008C7124">
        <w:rPr>
          <w:rStyle w:val="Char9"/>
          <w:rFonts w:hint="cs"/>
          <w:sz w:val="20"/>
          <w:szCs w:val="20"/>
          <w:rtl/>
        </w:rPr>
        <w:t>ن أسد آباد</w:t>
      </w:r>
      <w:r>
        <w:rPr>
          <w:rStyle w:val="Char9"/>
          <w:rFonts w:hint="cs"/>
          <w:sz w:val="20"/>
          <w:szCs w:val="20"/>
          <w:rtl/>
        </w:rPr>
        <w:t>ی</w:t>
      </w:r>
      <w:r w:rsidRPr="006E28E9">
        <w:rPr>
          <w:rFonts w:hint="cs"/>
          <w:rtl/>
        </w:rPr>
        <w:t xml:space="preserve">، (صفات الله جمالي، قم، دار التبليغ إسلامي، 1349)، ص 8؛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ب</w:t>
      </w:r>
      <w:r>
        <w:rPr>
          <w:rStyle w:val="Char9"/>
          <w:rFonts w:hint="cs"/>
          <w:sz w:val="20"/>
          <w:szCs w:val="20"/>
          <w:rtl/>
        </w:rPr>
        <w:t>ی</w:t>
      </w:r>
      <w:r w:rsidRPr="008C7124">
        <w:rPr>
          <w:rStyle w:val="Char9"/>
          <w:rFonts w:hint="cs"/>
          <w:sz w:val="20"/>
          <w:szCs w:val="20"/>
          <w:rtl/>
        </w:rPr>
        <w:t>دارى ا</w:t>
      </w:r>
      <w:r>
        <w:rPr>
          <w:rStyle w:val="Char9"/>
          <w:rFonts w:hint="cs"/>
          <w:sz w:val="20"/>
          <w:szCs w:val="20"/>
          <w:rtl/>
        </w:rPr>
        <w:t>ی</w:t>
      </w:r>
      <w:r w:rsidRPr="008C7124">
        <w:rPr>
          <w:rStyle w:val="Char9"/>
          <w:rFonts w:hint="cs"/>
          <w:sz w:val="20"/>
          <w:szCs w:val="20"/>
          <w:rtl/>
        </w:rPr>
        <w:t>ران</w:t>
      </w:r>
      <w:r>
        <w:rPr>
          <w:rStyle w:val="Char9"/>
          <w:rFonts w:hint="cs"/>
          <w:sz w:val="20"/>
          <w:szCs w:val="20"/>
          <w:rtl/>
        </w:rPr>
        <w:t>ی</w:t>
      </w:r>
      <w:r w:rsidRPr="008C7124">
        <w:rPr>
          <w:rStyle w:val="Char9"/>
          <w:rFonts w:hint="cs"/>
          <w:sz w:val="20"/>
          <w:szCs w:val="20"/>
          <w:rtl/>
        </w:rPr>
        <w:t>ان</w:t>
      </w:r>
      <w:r w:rsidRPr="006E28E9">
        <w:rPr>
          <w:rFonts w:hint="cs"/>
          <w:rtl/>
        </w:rPr>
        <w:t xml:space="preserve"> [تاريخ يقظة الإيرانيين]، (ناظم الإسلام كرماني، طهران، آگاه، 1361هـ.ش)، ص 79-80. </w:t>
      </w:r>
    </w:p>
  </w:footnote>
  <w:footnote w:id="225">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انقلاب مشروط</w:t>
      </w:r>
      <w:r>
        <w:rPr>
          <w:rStyle w:val="Char9"/>
          <w:rFonts w:hint="cs"/>
          <w:sz w:val="20"/>
          <w:szCs w:val="20"/>
          <w:rtl/>
        </w:rPr>
        <w:t>ی</w:t>
      </w:r>
      <w:r w:rsidRPr="008C7124">
        <w:rPr>
          <w:rStyle w:val="Char9"/>
          <w:rFonts w:hint="cs"/>
          <w:sz w:val="20"/>
          <w:szCs w:val="20"/>
          <w:rtl/>
        </w:rPr>
        <w:t>ت ا</w:t>
      </w:r>
      <w:r>
        <w:rPr>
          <w:rStyle w:val="Char9"/>
          <w:rFonts w:hint="cs"/>
          <w:sz w:val="20"/>
          <w:szCs w:val="20"/>
          <w:rtl/>
        </w:rPr>
        <w:t>ی</w:t>
      </w:r>
      <w:r w:rsidRPr="008C7124">
        <w:rPr>
          <w:rStyle w:val="Char9"/>
          <w:rFonts w:hint="cs"/>
          <w:sz w:val="20"/>
          <w:szCs w:val="20"/>
          <w:rtl/>
        </w:rPr>
        <w:t xml:space="preserve">ران </w:t>
      </w:r>
      <w:r w:rsidRPr="006E28E9">
        <w:rPr>
          <w:rStyle w:val="FootnoteReference"/>
          <w:rFonts w:hint="cs"/>
          <w:vertAlign w:val="baseline"/>
          <w:rtl/>
        </w:rPr>
        <w:t xml:space="preserve">[تاريخ الثورة الدستورية في إيران]، </w:t>
      </w:r>
      <w:r w:rsidRPr="006E28E9">
        <w:rPr>
          <w:rFonts w:hint="cs"/>
          <w:rtl/>
        </w:rPr>
        <w:t>، ج 1، ص 207.</w:t>
      </w:r>
      <w:r w:rsidRPr="006E28E9">
        <w:rPr>
          <w:rFonts w:hint="cs"/>
          <w:rtl/>
          <w:lang w:bidi="ar-SY"/>
        </w:rPr>
        <w:t xml:space="preserve"> هذا ولَمْ يُشِر كتاب «</w:t>
      </w:r>
      <w:r w:rsidRPr="008C7124">
        <w:rPr>
          <w:rStyle w:val="Char9"/>
          <w:rFonts w:hint="cs"/>
          <w:sz w:val="20"/>
          <w:szCs w:val="20"/>
          <w:rtl/>
        </w:rPr>
        <w:t>تش</w:t>
      </w:r>
      <w:r>
        <w:rPr>
          <w:rStyle w:val="Char9"/>
          <w:rFonts w:hint="cs"/>
          <w:sz w:val="20"/>
          <w:szCs w:val="20"/>
          <w:rtl/>
        </w:rPr>
        <w:t>ی</w:t>
      </w:r>
      <w:r w:rsidRPr="008C7124">
        <w:rPr>
          <w:rStyle w:val="Char9"/>
          <w:rFonts w:hint="cs"/>
          <w:sz w:val="20"/>
          <w:szCs w:val="20"/>
          <w:rtl/>
        </w:rPr>
        <w:t>ع ومشروع</w:t>
      </w:r>
      <w:r>
        <w:rPr>
          <w:rStyle w:val="Char9"/>
          <w:rFonts w:hint="cs"/>
          <w:sz w:val="20"/>
          <w:szCs w:val="20"/>
          <w:rtl/>
        </w:rPr>
        <w:t>ی</w:t>
      </w:r>
      <w:r w:rsidRPr="008C7124">
        <w:rPr>
          <w:rStyle w:val="Char9"/>
          <w:rFonts w:hint="cs"/>
          <w:sz w:val="20"/>
          <w:szCs w:val="20"/>
          <w:rtl/>
        </w:rPr>
        <w:t>ت</w:t>
      </w:r>
      <w:r w:rsidRPr="006E28E9">
        <w:rPr>
          <w:rFonts w:hint="cs"/>
          <w:rtl/>
          <w:lang w:bidi="ar-SY"/>
        </w:rPr>
        <w:t xml:space="preserve">» الذي ألّفه المرحوم عبد الهادي الحائري، الذي كان - على نحو ما- مُبَيِّنًا لدور النجف في النهضة أو الثورة الدستورية، إلى اسم خرقاني. </w:t>
      </w:r>
    </w:p>
  </w:footnote>
  <w:footnote w:id="22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انقلاب مشروط</w:t>
      </w:r>
      <w:r>
        <w:rPr>
          <w:rStyle w:val="Char9"/>
          <w:rFonts w:hint="cs"/>
          <w:sz w:val="20"/>
          <w:szCs w:val="20"/>
          <w:rtl/>
        </w:rPr>
        <w:t>ی</w:t>
      </w:r>
      <w:r w:rsidRPr="008C7124">
        <w:rPr>
          <w:rStyle w:val="Char9"/>
          <w:rFonts w:hint="cs"/>
          <w:sz w:val="20"/>
          <w:szCs w:val="20"/>
          <w:rtl/>
        </w:rPr>
        <w:t>ت إ</w:t>
      </w:r>
      <w:r>
        <w:rPr>
          <w:rStyle w:val="Char9"/>
          <w:rFonts w:hint="cs"/>
          <w:sz w:val="20"/>
          <w:szCs w:val="20"/>
          <w:rtl/>
        </w:rPr>
        <w:t>ی</w:t>
      </w:r>
      <w:r w:rsidRPr="008C7124">
        <w:rPr>
          <w:rStyle w:val="Char9"/>
          <w:rFonts w:hint="cs"/>
          <w:sz w:val="20"/>
          <w:szCs w:val="20"/>
          <w:rtl/>
        </w:rPr>
        <w:t>ران</w:t>
      </w:r>
      <w:r w:rsidRPr="006E28E9">
        <w:rPr>
          <w:rStyle w:val="FootnoteReference"/>
          <w:rFonts w:hint="cs"/>
          <w:vertAlign w:val="baseline"/>
          <w:rtl/>
        </w:rPr>
        <w:t xml:space="preserve"> [تاريخ الثورة الدستورية في إيران]، صص239 - 243؛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 xml:space="preserve">خ </w:t>
      </w:r>
      <w:r>
        <w:rPr>
          <w:rStyle w:val="Char9"/>
          <w:rFonts w:hint="cs"/>
          <w:sz w:val="20"/>
          <w:szCs w:val="20"/>
          <w:rtl/>
        </w:rPr>
        <w:t>کی</w:t>
      </w:r>
      <w:r w:rsidRPr="008C7124">
        <w:rPr>
          <w:rStyle w:val="Char9"/>
          <w:rFonts w:hint="cs"/>
          <w:sz w:val="20"/>
          <w:szCs w:val="20"/>
          <w:rtl/>
        </w:rPr>
        <w:t>لان</w:t>
      </w:r>
      <w:r w:rsidRPr="006E28E9">
        <w:rPr>
          <w:rStyle w:val="FootnoteReference"/>
          <w:rFonts w:hint="cs"/>
          <w:vertAlign w:val="baseline"/>
          <w:rtl/>
        </w:rPr>
        <w:t xml:space="preserve">، عبد الفتاح فومني، عطاء الله تدين، طهران، فروغي، 1353 هـ.ش، ص 224. </w:t>
      </w:r>
      <w:r w:rsidRPr="006E28E9">
        <w:rPr>
          <w:rFonts w:hint="cs"/>
          <w:rtl/>
        </w:rPr>
        <w:t>و</w:t>
      </w:r>
      <w:r w:rsidRPr="006E28E9">
        <w:rPr>
          <w:rStyle w:val="FootnoteReference"/>
          <w:rFonts w:hint="cs"/>
          <w:vertAlign w:val="baseline"/>
          <w:rtl/>
        </w:rPr>
        <w:t xml:space="preserve">مصدر جميع الأشخاص الذين نقلوا هذا الخبر فيما بعد ليس سوى ملک زاده.  </w:t>
      </w:r>
    </w:p>
  </w:footnote>
  <w:footnote w:id="22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انقلاب مشروط</w:t>
      </w:r>
      <w:r>
        <w:rPr>
          <w:rStyle w:val="Char9"/>
          <w:rFonts w:hint="cs"/>
          <w:sz w:val="20"/>
          <w:szCs w:val="20"/>
          <w:rtl/>
        </w:rPr>
        <w:t>ی</w:t>
      </w:r>
      <w:r w:rsidRPr="008C7124">
        <w:rPr>
          <w:rStyle w:val="Char9"/>
          <w:rFonts w:hint="cs"/>
          <w:sz w:val="20"/>
          <w:szCs w:val="20"/>
          <w:rtl/>
        </w:rPr>
        <w:t>ت إ</w:t>
      </w:r>
      <w:r>
        <w:rPr>
          <w:rStyle w:val="Char9"/>
          <w:rFonts w:hint="cs"/>
          <w:sz w:val="20"/>
          <w:szCs w:val="20"/>
          <w:rtl/>
        </w:rPr>
        <w:t>ی</w:t>
      </w:r>
      <w:r w:rsidRPr="008C7124">
        <w:rPr>
          <w:rStyle w:val="Char9"/>
          <w:rFonts w:hint="cs"/>
          <w:sz w:val="20"/>
          <w:szCs w:val="20"/>
          <w:rtl/>
        </w:rPr>
        <w:t>ران</w:t>
      </w:r>
      <w:r w:rsidRPr="006E28E9">
        <w:rPr>
          <w:rStyle w:val="FootnoteReference"/>
          <w:rFonts w:hint="cs"/>
          <w:vertAlign w:val="baseline"/>
          <w:rtl/>
        </w:rPr>
        <w:t xml:space="preserve"> [تاريخ الثورة الدستورية في إيران]، ج 1، صص 244 - 245. </w:t>
      </w:r>
    </w:p>
  </w:footnote>
  <w:footnote w:id="22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ج 1، ص 375.</w:t>
      </w:r>
      <w:r w:rsidRPr="006E28E9">
        <w:rPr>
          <w:rStyle w:val="FootnoteReference"/>
          <w:vertAlign w:val="baseline"/>
          <w:rtl/>
        </w:rPr>
        <w:t xml:space="preserve"> </w:t>
      </w:r>
    </w:p>
  </w:footnote>
  <w:footnote w:id="22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شرح هذه الحكاية في: </w:t>
      </w:r>
      <w:r w:rsidRPr="006E28E9">
        <w:rPr>
          <w:rStyle w:val="FootnoteReference"/>
          <w:rFonts w:hint="cs"/>
          <w:b/>
          <w:bCs/>
          <w:vertAlign w:val="baseline"/>
          <w:rtl/>
        </w:rPr>
        <w:t>تاريخ جرائد ومجلات إيران</w:t>
      </w:r>
      <w:r w:rsidRPr="006E28E9">
        <w:rPr>
          <w:rStyle w:val="FootnoteReference"/>
          <w:rFonts w:hint="cs"/>
          <w:vertAlign w:val="baseline"/>
          <w:rtl/>
        </w:rPr>
        <w:t xml:space="preserve"> (صدر هاشمي، أصفهان، كمان، 1363)، ج 2، ص 211 - 212. </w:t>
      </w:r>
    </w:p>
  </w:footnote>
  <w:footnote w:id="230">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w:t>
      </w:r>
      <w:r w:rsidRPr="006E28E9">
        <w:rPr>
          <w:rFonts w:hint="cs"/>
          <w:rtl/>
        </w:rPr>
        <w:t>ت</w:t>
      </w:r>
      <w:r w:rsidRPr="006E28E9">
        <w:rPr>
          <w:rStyle w:val="FootnoteReference"/>
          <w:rFonts w:hint="cs"/>
          <w:vertAlign w:val="baseline"/>
          <w:rtl/>
        </w:rPr>
        <w:t xml:space="preserve"> </w:t>
      </w:r>
      <w:r w:rsidRPr="006E28E9">
        <w:rPr>
          <w:rtl/>
        </w:rPr>
        <w:t xml:space="preserve">المعاهدة التي عقدها </w:t>
      </w:r>
      <w:r w:rsidRPr="006E28E9">
        <w:rPr>
          <w:rFonts w:hint="cs"/>
          <w:rtl/>
        </w:rPr>
        <w:t>رئيس الوزراء في حينه «</w:t>
      </w:r>
      <w:r w:rsidRPr="006E28E9">
        <w:rPr>
          <w:rtl/>
        </w:rPr>
        <w:t>وثوق الدولة</w:t>
      </w:r>
      <w:r w:rsidRPr="006E28E9">
        <w:rPr>
          <w:rFonts w:hint="cs"/>
          <w:rtl/>
        </w:rPr>
        <w:t>» مع إنجلترا عام 1919م،</w:t>
      </w:r>
      <w:r w:rsidRPr="006E28E9">
        <w:rPr>
          <w:rStyle w:val="FootnoteReference"/>
          <w:rFonts w:hint="cs"/>
          <w:vertAlign w:val="baseline"/>
          <w:rtl/>
        </w:rPr>
        <w:t xml:space="preserve"> معاهدة اقتصادية وسياسية مجحفة، </w:t>
      </w:r>
      <w:r w:rsidRPr="006E28E9">
        <w:rPr>
          <w:rFonts w:hint="cs"/>
          <w:rtl/>
        </w:rPr>
        <w:t xml:space="preserve">كما تنتقص من سيادة إيران، وقد </w:t>
      </w:r>
      <w:r w:rsidRPr="006E28E9">
        <w:rPr>
          <w:rStyle w:val="FootnoteReference"/>
          <w:rFonts w:hint="cs"/>
          <w:vertAlign w:val="baseline"/>
          <w:rtl/>
        </w:rPr>
        <w:t xml:space="preserve">فرضها الإنجليز </w:t>
      </w:r>
      <w:r w:rsidRPr="006E28E9">
        <w:rPr>
          <w:rFonts w:hint="cs"/>
          <w:rtl/>
        </w:rPr>
        <w:t xml:space="preserve">على إيران في ذلك الحين مستغلين نفوذهم في البلاد في تلك الفترة، وقد أثار التوقيع على المعاهدة سخطاً في صفوف الشعب الإيراني وأحدث هزات في جميع أنحاء البلاد. انظر: </w:t>
      </w:r>
      <w:r w:rsidRPr="006E28E9">
        <w:rPr>
          <w:rFonts w:hint="cs"/>
          <w:b/>
          <w:bCs/>
          <w:rtl/>
        </w:rPr>
        <w:t>المنتخب من تاريخ إيران</w:t>
      </w:r>
      <w:r w:rsidRPr="006E28E9">
        <w:rPr>
          <w:rFonts w:hint="cs"/>
          <w:rtl/>
        </w:rPr>
        <w:t>، تأليف الدكتور رضا شعباني، صص 362 - 367. (المُتَرْجِمُ)</w:t>
      </w:r>
      <w:r w:rsidRPr="006E28E9">
        <w:rPr>
          <w:rStyle w:val="FootnoteReference"/>
          <w:rFonts w:hint="cs"/>
          <w:vertAlign w:val="baseline"/>
          <w:rtl/>
        </w:rPr>
        <w:t xml:space="preserve"> </w:t>
      </w:r>
    </w:p>
  </w:footnote>
  <w:footnote w:id="23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رضا خان</w:t>
      </w:r>
      <w:r w:rsidRPr="006E28E9">
        <w:rPr>
          <w:rFonts w:hint="cs"/>
          <w:rtl/>
        </w:rPr>
        <w:t xml:space="preserve"> </w:t>
      </w:r>
      <w:r w:rsidRPr="006E28E9">
        <w:rPr>
          <w:rFonts w:hint="cs"/>
          <w:rtl/>
        </w:rPr>
        <w:t>رئيساً للوزراء،</w:t>
      </w:r>
      <w:r w:rsidRPr="006E28E9">
        <w:rPr>
          <w:rStyle w:val="FootnoteReference"/>
          <w:rFonts w:hint="cs"/>
          <w:vertAlign w:val="baseline"/>
          <w:rtl/>
        </w:rPr>
        <w:t xml:space="preserve"> قبل أن يقوم بانقلابه </w:t>
      </w:r>
      <w:r w:rsidRPr="006E28E9">
        <w:rPr>
          <w:rFonts w:hint="cs"/>
          <w:rtl/>
        </w:rPr>
        <w:t xml:space="preserve">العسكري </w:t>
      </w:r>
      <w:r w:rsidRPr="006E28E9">
        <w:rPr>
          <w:rStyle w:val="FootnoteReference"/>
          <w:rFonts w:hint="cs"/>
          <w:vertAlign w:val="baseline"/>
          <w:rtl/>
        </w:rPr>
        <w:t xml:space="preserve">على الملك </w:t>
      </w:r>
      <w:r w:rsidRPr="006E28E9">
        <w:rPr>
          <w:rFonts w:hint="cs"/>
          <w:rtl/>
        </w:rPr>
        <w:t>أحمد شاه القاجاري عام 1920م، ويعلن نفسه بعد ذلك مَلَكًا على إيران مؤسِّسًا الحكم البهلوي فيها. (المُتَرْجِمُ)</w:t>
      </w:r>
    </w:p>
  </w:footnote>
  <w:footnote w:id="23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خاطرات عين السلطنة</w:t>
      </w:r>
      <w:r w:rsidRPr="006E28E9">
        <w:rPr>
          <w:rStyle w:val="FootnoteReference"/>
          <w:rFonts w:hint="cs"/>
          <w:vertAlign w:val="baseline"/>
          <w:rtl/>
        </w:rPr>
        <w:t xml:space="preserve"> [مذكرات عين السلطنة]، ج 9، ص 6807.</w:t>
      </w:r>
    </w:p>
  </w:footnote>
  <w:footnote w:id="23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ج 9، ص 6908.</w:t>
      </w:r>
    </w:p>
  </w:footnote>
  <w:footnote w:id="23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طبعت</w:t>
      </w:r>
      <w:r w:rsidRPr="006E28E9">
        <w:rPr>
          <w:rFonts w:hint="cs"/>
          <w:rtl/>
        </w:rPr>
        <w:t>ُ</w:t>
      </w:r>
      <w:r w:rsidRPr="006E28E9">
        <w:rPr>
          <w:rStyle w:val="FootnoteReference"/>
          <w:rFonts w:hint="cs"/>
          <w:vertAlign w:val="baseline"/>
          <w:rtl/>
        </w:rPr>
        <w:t xml:space="preserve"> نص هذه الرسالة في كتابي: «</w:t>
      </w:r>
      <w:r w:rsidRPr="008C7124">
        <w:rPr>
          <w:rStyle w:val="Char9"/>
          <w:rFonts w:hint="cs"/>
          <w:sz w:val="20"/>
          <w:szCs w:val="20"/>
          <w:rtl/>
        </w:rPr>
        <w:t>س</w:t>
      </w:r>
      <w:r>
        <w:rPr>
          <w:rStyle w:val="Char9"/>
          <w:rFonts w:hint="cs"/>
          <w:sz w:val="20"/>
          <w:szCs w:val="20"/>
          <w:rtl/>
        </w:rPr>
        <w:t>ی</w:t>
      </w:r>
      <w:r w:rsidRPr="008C7124">
        <w:rPr>
          <w:rStyle w:val="Char9"/>
          <w:rFonts w:hint="cs"/>
          <w:sz w:val="20"/>
          <w:szCs w:val="20"/>
          <w:rtl/>
        </w:rPr>
        <w:t>د أسد الله خرقان</w:t>
      </w:r>
      <w:r>
        <w:rPr>
          <w:rStyle w:val="Char9"/>
          <w:rFonts w:hint="cs"/>
          <w:sz w:val="20"/>
          <w:szCs w:val="20"/>
          <w:rtl/>
        </w:rPr>
        <w:t>ی</w:t>
      </w:r>
      <w:r w:rsidRPr="008C7124">
        <w:rPr>
          <w:rStyle w:val="Char9"/>
          <w:rFonts w:hint="cs"/>
          <w:sz w:val="20"/>
          <w:szCs w:val="20"/>
          <w:rtl/>
        </w:rPr>
        <w:t>، روحان</w:t>
      </w:r>
      <w:r>
        <w:rPr>
          <w:rStyle w:val="Char9"/>
          <w:rFonts w:hint="cs"/>
          <w:sz w:val="20"/>
          <w:szCs w:val="20"/>
          <w:rtl/>
        </w:rPr>
        <w:t>ی</w:t>
      </w:r>
      <w:r w:rsidRPr="008C7124">
        <w:rPr>
          <w:rStyle w:val="Char9"/>
          <w:rFonts w:hint="cs"/>
          <w:sz w:val="20"/>
          <w:szCs w:val="20"/>
          <w:rtl/>
        </w:rPr>
        <w:t xml:space="preserve"> نوگرا</w:t>
      </w:r>
      <w:r>
        <w:rPr>
          <w:rStyle w:val="Char9"/>
          <w:rFonts w:hint="cs"/>
          <w:sz w:val="20"/>
          <w:szCs w:val="20"/>
          <w:rtl/>
        </w:rPr>
        <w:t>ی</w:t>
      </w:r>
      <w:r w:rsidRPr="008C7124">
        <w:rPr>
          <w:rStyle w:val="Char9"/>
          <w:rFonts w:hint="cs"/>
          <w:sz w:val="20"/>
          <w:szCs w:val="20"/>
          <w:rtl/>
        </w:rPr>
        <w:t xml:space="preserve"> عصر مشروطه ورضا شاه</w:t>
      </w:r>
      <w:r w:rsidRPr="006E28E9">
        <w:rPr>
          <w:rStyle w:val="FootnoteReference"/>
          <w:rFonts w:hint="cs"/>
          <w:vertAlign w:val="baseline"/>
          <w:rtl/>
        </w:rPr>
        <w:t>» [أي: السيد أسد الله الخرقاني، عالم الدين المتجدد في عصر النهضة الدستورية وعصر رضا شاه].</w:t>
      </w:r>
    </w:p>
  </w:footnote>
  <w:footnote w:id="23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محو الموهوم</w:t>
      </w:r>
      <w:r w:rsidRPr="006E28E9">
        <w:rPr>
          <w:rFonts w:hint="cs"/>
          <w:b/>
          <w:bCs/>
          <w:rtl/>
        </w:rPr>
        <w:t xml:space="preserve"> </w:t>
      </w:r>
      <w:r w:rsidRPr="006E28E9">
        <w:rPr>
          <w:rFonts w:hint="cs"/>
          <w:b/>
          <w:bCs/>
          <w:rtl/>
        </w:rPr>
        <w:t>وصحو المعلوم</w:t>
      </w:r>
      <w:r w:rsidRPr="006E28E9">
        <w:rPr>
          <w:rStyle w:val="FootnoteReference"/>
          <w:rFonts w:hint="cs"/>
          <w:vertAlign w:val="baseline"/>
          <w:rtl/>
        </w:rPr>
        <w:t>، ص 23.</w:t>
      </w:r>
    </w:p>
  </w:footnote>
  <w:footnote w:id="23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39.</w:t>
      </w:r>
    </w:p>
  </w:footnote>
  <w:footnote w:id="23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101.</w:t>
      </w:r>
    </w:p>
  </w:footnote>
  <w:footnote w:id="238">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وقد نُشِر كتاب</w:t>
      </w:r>
      <w:r w:rsidRPr="006E28E9">
        <w:rPr>
          <w:rFonts w:hint="cs"/>
          <w:rtl/>
        </w:rPr>
        <w:t>ٌ</w:t>
      </w:r>
      <w:r w:rsidRPr="006E28E9">
        <w:rPr>
          <w:rStyle w:val="FootnoteReference"/>
          <w:rFonts w:hint="cs"/>
          <w:vertAlign w:val="baseline"/>
          <w:rtl/>
        </w:rPr>
        <w:t xml:space="preserve"> في الرد</w:t>
      </w:r>
      <w:r w:rsidRPr="006E28E9">
        <w:rPr>
          <w:rFonts w:hint="cs"/>
          <w:rtl/>
        </w:rPr>
        <w:t>ِّ</w:t>
      </w:r>
      <w:r w:rsidRPr="006E28E9">
        <w:rPr>
          <w:rStyle w:val="FootnoteReference"/>
          <w:rFonts w:hint="cs"/>
          <w:vertAlign w:val="baseline"/>
          <w:rtl/>
        </w:rPr>
        <w:t xml:space="preserve"> على هذا الكتاب عنوانه: «</w:t>
      </w:r>
      <w:r w:rsidRPr="008C7124">
        <w:rPr>
          <w:rStyle w:val="Char9"/>
          <w:rFonts w:hint="cs"/>
          <w:sz w:val="20"/>
          <w:szCs w:val="20"/>
          <w:rtl/>
        </w:rPr>
        <w:t>احراق لانه‌هاى فساد در ب</w:t>
      </w:r>
      <w:r>
        <w:rPr>
          <w:rStyle w:val="Char9"/>
          <w:rFonts w:hint="cs"/>
          <w:sz w:val="20"/>
          <w:szCs w:val="20"/>
          <w:rtl/>
        </w:rPr>
        <w:t>ی</w:t>
      </w:r>
      <w:r w:rsidRPr="008C7124">
        <w:rPr>
          <w:rStyle w:val="Char9"/>
          <w:rFonts w:hint="cs"/>
          <w:sz w:val="20"/>
          <w:szCs w:val="20"/>
          <w:rtl/>
        </w:rPr>
        <w:t>ان مفاسد توده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اى</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 xml:space="preserve">گرى، </w:t>
      </w:r>
      <w:r>
        <w:rPr>
          <w:rStyle w:val="Char9"/>
          <w:rFonts w:hint="cs"/>
          <w:sz w:val="20"/>
          <w:szCs w:val="20"/>
          <w:rtl/>
        </w:rPr>
        <w:t>ک</w:t>
      </w:r>
      <w:r w:rsidRPr="008C7124">
        <w:rPr>
          <w:rStyle w:val="Char9"/>
          <w:rFonts w:hint="cs"/>
          <w:sz w:val="20"/>
          <w:szCs w:val="20"/>
          <w:rtl/>
        </w:rPr>
        <w:t>مون</w:t>
      </w:r>
      <w:r>
        <w:rPr>
          <w:rStyle w:val="Char9"/>
          <w:rFonts w:hint="cs"/>
          <w:sz w:val="20"/>
          <w:szCs w:val="20"/>
          <w:rtl/>
        </w:rPr>
        <w:t>ی</w:t>
      </w:r>
      <w:r w:rsidRPr="008C7124">
        <w:rPr>
          <w:rStyle w:val="Char9"/>
          <w:rFonts w:hint="cs"/>
          <w:sz w:val="20"/>
          <w:szCs w:val="20"/>
          <w:rtl/>
        </w:rPr>
        <w:t>زم و ماتر</w:t>
      </w:r>
      <w:r>
        <w:rPr>
          <w:rStyle w:val="Char9"/>
          <w:rFonts w:hint="cs"/>
          <w:sz w:val="20"/>
          <w:szCs w:val="20"/>
          <w:rtl/>
        </w:rPr>
        <w:t>ی</w:t>
      </w:r>
      <w:r w:rsidRPr="008C7124">
        <w:rPr>
          <w:rStyle w:val="Char9"/>
          <w:rFonts w:hint="cs"/>
          <w:sz w:val="20"/>
          <w:szCs w:val="20"/>
          <w:rtl/>
        </w:rPr>
        <w:t>ال</w:t>
      </w:r>
      <w:r>
        <w:rPr>
          <w:rStyle w:val="Char9"/>
          <w:rFonts w:hint="cs"/>
          <w:sz w:val="20"/>
          <w:szCs w:val="20"/>
          <w:rtl/>
        </w:rPr>
        <w:t>ی</w:t>
      </w:r>
      <w:r w:rsidRPr="008C7124">
        <w:rPr>
          <w:rStyle w:val="Char9"/>
          <w:rFonts w:hint="cs"/>
          <w:sz w:val="20"/>
          <w:szCs w:val="20"/>
          <w:rtl/>
        </w:rPr>
        <w:t xml:space="preserve">زم و رد </w:t>
      </w:r>
      <w:r>
        <w:rPr>
          <w:rStyle w:val="Char9"/>
          <w:rFonts w:hint="cs"/>
          <w:sz w:val="20"/>
          <w:szCs w:val="20"/>
          <w:rtl/>
        </w:rPr>
        <w:t>ی</w:t>
      </w:r>
      <w:r w:rsidRPr="008C7124">
        <w:rPr>
          <w:rStyle w:val="Char9"/>
          <w:rFonts w:hint="cs"/>
          <w:sz w:val="20"/>
          <w:szCs w:val="20"/>
          <w:rtl/>
        </w:rPr>
        <w:t>اوه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هاى نگهبانان سحر و افسون</w:t>
      </w:r>
      <w:r w:rsidRPr="006E28E9">
        <w:rPr>
          <w:rStyle w:val="FootnoteReference"/>
          <w:rFonts w:hint="cs"/>
          <w:vertAlign w:val="baseline"/>
          <w:rtl/>
        </w:rPr>
        <w:t>» [أي إحراق أوكار الفساد في بيان مفاسد أتباع حزب توده والشيوعية والمادية والرد</w:t>
      </w:r>
      <w:r w:rsidRPr="006E28E9">
        <w:rPr>
          <w:rFonts w:hint="cs"/>
          <w:rtl/>
        </w:rPr>
        <w:t>ّ</w:t>
      </w:r>
      <w:r w:rsidRPr="006E28E9">
        <w:rPr>
          <w:rStyle w:val="FootnoteReference"/>
          <w:rFonts w:hint="cs"/>
          <w:vertAlign w:val="baseline"/>
          <w:rtl/>
        </w:rPr>
        <w:t xml:space="preserve"> على هذيان وأراجيف كتاب حراس السحر و</w:t>
      </w:r>
      <w:r w:rsidRPr="006E28E9">
        <w:rPr>
          <w:rFonts w:hint="cs"/>
          <w:rtl/>
        </w:rPr>
        <w:t>الشعوذة</w:t>
      </w:r>
      <w:r w:rsidRPr="006E28E9">
        <w:rPr>
          <w:rStyle w:val="FootnoteReference"/>
          <w:rFonts w:hint="cs"/>
          <w:vertAlign w:val="baseline"/>
          <w:rtl/>
        </w:rPr>
        <w:t>] (بقلم م.ف. ، قم، مطبعة برقعي، 1331 هـ.ش). وهو كتاب في الرد على أتباع حزب توده، وقد كُتِب على غلافه بيتان من الشعر [ترجمتهما]:</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 xml:space="preserve">ذلك الشيوعي (من أتباع حزب توده) القذر الخسيس الذي تكرهه جماهير الشعب، هدفه الحقير ليس سوى العناد. فيا أيها المواطن! اجتنب حزب توده لأن متاع هذا الحزب ليس سوى الفساد. </w:t>
      </w:r>
    </w:p>
    <w:p w:rsidR="008C7124" w:rsidRPr="006E28E9" w:rsidRDefault="008C7124" w:rsidP="001809AD">
      <w:pPr>
        <w:pStyle w:val="FootnoteText"/>
        <w:ind w:firstLine="0"/>
        <w:rPr>
          <w:rStyle w:val="FootnoteReference"/>
          <w:vertAlign w:val="baseline"/>
        </w:rPr>
      </w:pPr>
      <w:r w:rsidRPr="006E28E9">
        <w:rPr>
          <w:rStyle w:val="FootnoteReference"/>
          <w:rFonts w:hint="cs"/>
          <w:vertAlign w:val="baseline"/>
          <w:rtl/>
        </w:rPr>
        <w:t>وقد انتشرت في طهران في العدد 26 (ش</w:t>
      </w:r>
      <w:r w:rsidRPr="006E28E9">
        <w:rPr>
          <w:rFonts w:hint="cs"/>
          <w:rtl/>
        </w:rPr>
        <w:t>َ</w:t>
      </w:r>
      <w:r w:rsidRPr="006E28E9">
        <w:rPr>
          <w:rStyle w:val="FootnoteReference"/>
          <w:rFonts w:hint="cs"/>
          <w:vertAlign w:val="baseline"/>
          <w:rtl/>
        </w:rPr>
        <w:t>ه</w:t>
      </w:r>
      <w:r w:rsidRPr="006E28E9">
        <w:rPr>
          <w:rFonts w:hint="cs"/>
          <w:rtl/>
        </w:rPr>
        <w:t>ْ</w:t>
      </w:r>
      <w:r w:rsidRPr="006E28E9">
        <w:rPr>
          <w:rStyle w:val="FootnoteReference"/>
          <w:rFonts w:hint="cs"/>
          <w:vertAlign w:val="baseline"/>
          <w:rtl/>
        </w:rPr>
        <w:t>ر م</w:t>
      </w:r>
      <w:r w:rsidRPr="006E28E9">
        <w:rPr>
          <w:rFonts w:hint="cs"/>
          <w:rtl/>
        </w:rPr>
        <w:t>ِ</w:t>
      </w:r>
      <w:r w:rsidRPr="006E28E9">
        <w:rPr>
          <w:rStyle w:val="FootnoteReference"/>
          <w:rFonts w:hint="cs"/>
          <w:vertAlign w:val="baseline"/>
          <w:rtl/>
        </w:rPr>
        <w:t>ه</w:t>
      </w:r>
      <w:r w:rsidRPr="006E28E9">
        <w:rPr>
          <w:rFonts w:hint="cs"/>
          <w:rtl/>
        </w:rPr>
        <w:t>ْ</w:t>
      </w:r>
      <w:r w:rsidRPr="006E28E9">
        <w:rPr>
          <w:rStyle w:val="FootnoteReference"/>
          <w:rFonts w:hint="cs"/>
          <w:vertAlign w:val="baseline"/>
          <w:rtl/>
        </w:rPr>
        <w:t>ر سنة 1330 هـ.ش)</w:t>
      </w:r>
      <w:r w:rsidRPr="006E28E9">
        <w:rPr>
          <w:rFonts w:hint="cs"/>
          <w:rtl/>
        </w:rPr>
        <w:t xml:space="preserve"> [1370هـ.ق/1951م]</w:t>
      </w:r>
      <w:r w:rsidRPr="006E28E9">
        <w:rPr>
          <w:rStyle w:val="FootnoteReference"/>
          <w:rFonts w:hint="cs"/>
          <w:vertAlign w:val="baseline"/>
          <w:rtl/>
        </w:rPr>
        <w:t xml:space="preserve"> صورة عن ورقتين حول ا</w:t>
      </w:r>
      <w:r w:rsidRPr="006E28E9">
        <w:rPr>
          <w:rFonts w:hint="cs"/>
          <w:rtl/>
        </w:rPr>
        <w:t>كتشاف</w:t>
      </w:r>
      <w:r w:rsidRPr="006E28E9">
        <w:rPr>
          <w:rStyle w:val="FootnoteReference"/>
          <w:rFonts w:hint="cs"/>
          <w:vertAlign w:val="baseline"/>
          <w:rtl/>
        </w:rPr>
        <w:t xml:space="preserve"> إدارة الشرطة </w:t>
      </w:r>
      <w:r w:rsidRPr="006E28E9">
        <w:rPr>
          <w:rFonts w:hint="cs"/>
          <w:rtl/>
        </w:rPr>
        <w:t>ل</w:t>
      </w:r>
      <w:r w:rsidRPr="006E28E9">
        <w:rPr>
          <w:rStyle w:val="FootnoteReference"/>
          <w:rFonts w:hint="cs"/>
          <w:vertAlign w:val="baseline"/>
          <w:rtl/>
        </w:rPr>
        <w:t>هذا الكتاب، وطُلِب فيهما من جميع العلماء وممثلي</w:t>
      </w:r>
      <w:r w:rsidRPr="006E28E9">
        <w:rPr>
          <w:rFonts w:hint="cs"/>
          <w:rtl/>
        </w:rPr>
        <w:t xml:space="preserve"> </w:t>
      </w:r>
      <w:r w:rsidRPr="006E28E9">
        <w:rPr>
          <w:rStyle w:val="FootnoteReference"/>
          <w:rFonts w:hint="cs"/>
          <w:vertAlign w:val="baseline"/>
          <w:rtl/>
        </w:rPr>
        <w:t>مجلس</w:t>
      </w:r>
      <w:r w:rsidRPr="006E28E9">
        <w:rPr>
          <w:rFonts w:hint="cs"/>
          <w:rtl/>
        </w:rPr>
        <w:t>َ</w:t>
      </w:r>
      <w:r w:rsidRPr="006E28E9">
        <w:rPr>
          <w:rStyle w:val="FootnoteReference"/>
          <w:rFonts w:hint="cs"/>
          <w:vertAlign w:val="baseline"/>
          <w:rtl/>
        </w:rPr>
        <w:t>ي النواب والشيوخ أن يتحدوا في محاربة الشيوعية. وقد تم نشر عدة صفحات من المتن الأصلي للكتاب وكُتِبَت بعض التوضيحات في حواشيه. ونُشِر أيضًا كتاب آخر في نقد ذلك الكتاب عنوانه «</w:t>
      </w:r>
      <w:r w:rsidRPr="008C7124">
        <w:rPr>
          <w:rStyle w:val="Char9"/>
          <w:rFonts w:hint="cs"/>
          <w:sz w:val="20"/>
          <w:szCs w:val="20"/>
          <w:rtl/>
        </w:rPr>
        <w:t>راهزنان حق و حق</w:t>
      </w:r>
      <w:r>
        <w:rPr>
          <w:rStyle w:val="Char9"/>
          <w:rFonts w:hint="cs"/>
          <w:sz w:val="20"/>
          <w:szCs w:val="20"/>
          <w:rtl/>
        </w:rPr>
        <w:t>ی</w:t>
      </w:r>
      <w:r w:rsidRPr="008C7124">
        <w:rPr>
          <w:rStyle w:val="Char9"/>
          <w:rFonts w:hint="cs"/>
          <w:sz w:val="20"/>
          <w:szCs w:val="20"/>
          <w:rtl/>
        </w:rPr>
        <w:t>قت</w:t>
      </w:r>
      <w:r w:rsidRPr="006E28E9">
        <w:rPr>
          <w:rStyle w:val="FootnoteReference"/>
          <w:rFonts w:hint="cs"/>
          <w:vertAlign w:val="baseline"/>
          <w:rtl/>
        </w:rPr>
        <w:t>» [أي قطاع طريق الحق والحقيقة] ألّفه وطبعه آية الله الخالصي.</w:t>
      </w:r>
    </w:p>
  </w:footnote>
  <w:footnote w:id="23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w:t>
      </w:r>
      <w:r>
        <w:rPr>
          <w:rStyle w:val="Char9"/>
          <w:rFonts w:hint="cs"/>
          <w:sz w:val="20"/>
          <w:szCs w:val="20"/>
          <w:rtl/>
        </w:rPr>
        <w:t>ی</w:t>
      </w:r>
      <w:r w:rsidRPr="008C7124">
        <w:rPr>
          <w:rStyle w:val="Char9"/>
          <w:rFonts w:hint="cs"/>
          <w:sz w:val="20"/>
          <w:szCs w:val="20"/>
          <w:rtl/>
        </w:rPr>
        <w:t>ر</w:t>
      </w:r>
      <w:r>
        <w:rPr>
          <w:rStyle w:val="Char9"/>
          <w:rFonts w:hint="cs"/>
          <w:sz w:val="20"/>
          <w:szCs w:val="20"/>
          <w:rtl/>
        </w:rPr>
        <w:t>ی</w:t>
      </w:r>
      <w:r w:rsidRPr="008C7124">
        <w:rPr>
          <w:rStyle w:val="Char9"/>
          <w:rFonts w:hint="cs"/>
          <w:sz w:val="20"/>
          <w:szCs w:val="20"/>
          <w:rtl/>
        </w:rPr>
        <w:t xml:space="preserve"> در اند</w:t>
      </w:r>
      <w:r>
        <w:rPr>
          <w:rStyle w:val="Char9"/>
          <w:rFonts w:hint="cs"/>
          <w:sz w:val="20"/>
          <w:szCs w:val="20"/>
          <w:rtl/>
        </w:rPr>
        <w:t>ی</w:t>
      </w:r>
      <w:r w:rsidRPr="008C7124">
        <w:rPr>
          <w:rStyle w:val="Char9"/>
          <w:rFonts w:hint="cs"/>
          <w:sz w:val="20"/>
          <w:szCs w:val="20"/>
          <w:rtl/>
        </w:rPr>
        <w:t>شه س</w:t>
      </w:r>
      <w:r>
        <w:rPr>
          <w:rStyle w:val="Char9"/>
          <w:rFonts w:hint="cs"/>
          <w:sz w:val="20"/>
          <w:szCs w:val="20"/>
          <w:rtl/>
        </w:rPr>
        <w:t>ی</w:t>
      </w:r>
      <w:r w:rsidRPr="008C7124">
        <w:rPr>
          <w:rStyle w:val="Char9"/>
          <w:rFonts w:hint="cs"/>
          <w:sz w:val="20"/>
          <w:szCs w:val="20"/>
          <w:rtl/>
        </w:rPr>
        <w:t>اس</w:t>
      </w:r>
      <w:r>
        <w:rPr>
          <w:rStyle w:val="Char9"/>
          <w:rFonts w:hint="cs"/>
          <w:sz w:val="20"/>
          <w:szCs w:val="20"/>
          <w:rtl/>
        </w:rPr>
        <w:t>ی</w:t>
      </w:r>
      <w:r w:rsidRPr="008C7124">
        <w:rPr>
          <w:rStyle w:val="Char9"/>
          <w:rFonts w:hint="cs"/>
          <w:sz w:val="20"/>
          <w:szCs w:val="20"/>
          <w:rtl/>
        </w:rPr>
        <w:t xml:space="preserve">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Style w:val="FootnoteReference"/>
          <w:rFonts w:hint="cs"/>
          <w:vertAlign w:val="baseline"/>
          <w:rtl/>
        </w:rPr>
        <w:t xml:space="preserve"> [تأملات في فكر كسروي السياسي]، ص 49.</w:t>
      </w:r>
    </w:p>
  </w:footnote>
  <w:footnote w:id="24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پ</w:t>
      </w:r>
      <w:r>
        <w:rPr>
          <w:rStyle w:val="Char9"/>
          <w:rFonts w:hint="cs"/>
          <w:sz w:val="20"/>
          <w:szCs w:val="20"/>
          <w:rtl/>
        </w:rPr>
        <w:t>ی</w:t>
      </w:r>
      <w:r w:rsidRPr="008C7124">
        <w:rPr>
          <w:rStyle w:val="Char9"/>
          <w:rFonts w:hint="cs"/>
          <w:sz w:val="20"/>
          <w:szCs w:val="20"/>
          <w:rtl/>
        </w:rPr>
        <w:t>مان</w:t>
      </w:r>
      <w:r w:rsidRPr="006E28E9">
        <w:rPr>
          <w:rStyle w:val="FootnoteReference"/>
          <w:rFonts w:hint="cs"/>
          <w:vertAlign w:val="baseline"/>
          <w:rtl/>
        </w:rPr>
        <w:t xml:space="preserve">، السنة السادسة، العدد العاشر، شهر دي، سنة 1319 هـ.ش؛ نقلاً: </w:t>
      </w:r>
      <w:r w:rsidRPr="008C7124">
        <w:rPr>
          <w:rStyle w:val="Char9"/>
          <w:rFonts w:hint="cs"/>
          <w:sz w:val="20"/>
          <w:szCs w:val="20"/>
          <w:rtl/>
        </w:rPr>
        <w:t>س</w:t>
      </w:r>
      <w:r>
        <w:rPr>
          <w:rStyle w:val="Char9"/>
          <w:rFonts w:hint="cs"/>
          <w:sz w:val="20"/>
          <w:szCs w:val="20"/>
          <w:rtl/>
        </w:rPr>
        <w:t>ی</w:t>
      </w:r>
      <w:r w:rsidRPr="008C7124">
        <w:rPr>
          <w:rStyle w:val="Char9"/>
          <w:rFonts w:hint="cs"/>
          <w:sz w:val="20"/>
          <w:szCs w:val="20"/>
          <w:rtl/>
        </w:rPr>
        <w:t>ر</w:t>
      </w:r>
      <w:r>
        <w:rPr>
          <w:rStyle w:val="Char9"/>
          <w:rFonts w:hint="cs"/>
          <w:sz w:val="20"/>
          <w:szCs w:val="20"/>
          <w:rtl/>
        </w:rPr>
        <w:t>ی</w:t>
      </w:r>
      <w:r w:rsidRPr="008C7124">
        <w:rPr>
          <w:rStyle w:val="Char9"/>
          <w:rFonts w:hint="cs"/>
          <w:sz w:val="20"/>
          <w:szCs w:val="20"/>
          <w:rtl/>
        </w:rPr>
        <w:t xml:space="preserve"> در اند</w:t>
      </w:r>
      <w:r>
        <w:rPr>
          <w:rStyle w:val="Char9"/>
          <w:rFonts w:hint="cs"/>
          <w:sz w:val="20"/>
          <w:szCs w:val="20"/>
          <w:rtl/>
        </w:rPr>
        <w:t>ی</w:t>
      </w:r>
      <w:r w:rsidRPr="008C7124">
        <w:rPr>
          <w:rStyle w:val="Char9"/>
          <w:rFonts w:hint="cs"/>
          <w:sz w:val="20"/>
          <w:szCs w:val="20"/>
          <w:rtl/>
        </w:rPr>
        <w:t>شه س</w:t>
      </w:r>
      <w:r>
        <w:rPr>
          <w:rStyle w:val="Char9"/>
          <w:rFonts w:hint="cs"/>
          <w:sz w:val="20"/>
          <w:szCs w:val="20"/>
          <w:rtl/>
        </w:rPr>
        <w:t>ی</w:t>
      </w:r>
      <w:r w:rsidRPr="008C7124">
        <w:rPr>
          <w:rStyle w:val="Char9"/>
          <w:rFonts w:hint="cs"/>
          <w:sz w:val="20"/>
          <w:szCs w:val="20"/>
          <w:rtl/>
        </w:rPr>
        <w:t>اس</w:t>
      </w:r>
      <w:r>
        <w:rPr>
          <w:rStyle w:val="Char9"/>
          <w:rFonts w:hint="cs"/>
          <w:sz w:val="20"/>
          <w:szCs w:val="20"/>
          <w:rtl/>
        </w:rPr>
        <w:t>ی</w:t>
      </w:r>
      <w:r w:rsidRPr="008C7124">
        <w:rPr>
          <w:rStyle w:val="Char9"/>
          <w:rFonts w:hint="cs"/>
          <w:sz w:val="20"/>
          <w:szCs w:val="20"/>
          <w:rtl/>
        </w:rPr>
        <w:t xml:space="preserve">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Style w:val="FootnoteReference"/>
          <w:rFonts w:hint="cs"/>
          <w:vertAlign w:val="baseline"/>
          <w:rtl/>
        </w:rPr>
        <w:t xml:space="preserve"> [تأملات في فكر كسروي السياسي]، صص 50-51.</w:t>
      </w:r>
    </w:p>
  </w:footnote>
  <w:footnote w:id="24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سانسور در آ</w:t>
      </w:r>
      <w:r>
        <w:rPr>
          <w:rStyle w:val="Char9"/>
          <w:rFonts w:hint="cs"/>
          <w:sz w:val="20"/>
          <w:szCs w:val="20"/>
          <w:rtl/>
        </w:rPr>
        <w:t>ی</w:t>
      </w:r>
      <w:r w:rsidRPr="008C7124">
        <w:rPr>
          <w:rStyle w:val="Char9"/>
          <w:rFonts w:hint="cs"/>
          <w:sz w:val="20"/>
          <w:szCs w:val="20"/>
          <w:rtl/>
        </w:rPr>
        <w:t>نه</w:t>
      </w:r>
      <w:r w:rsidRPr="006E28E9">
        <w:rPr>
          <w:rStyle w:val="FootnoteReference"/>
          <w:rFonts w:hint="cs"/>
          <w:vertAlign w:val="baseline"/>
          <w:rtl/>
        </w:rPr>
        <w:t xml:space="preserve"> [الرقابة في المرآة]، ص 555.</w:t>
      </w:r>
    </w:p>
  </w:footnote>
  <w:footnote w:id="24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نبرد با ب</w:t>
      </w:r>
      <w:r>
        <w:rPr>
          <w:rStyle w:val="Char9"/>
          <w:rFonts w:hint="cs"/>
          <w:sz w:val="20"/>
          <w:szCs w:val="20"/>
          <w:rtl/>
        </w:rPr>
        <w:t>ی</w:t>
      </w:r>
      <w:r w:rsidRPr="006E28E9">
        <w:rPr>
          <w:rFonts w:ascii="Times New Roman" w:hAnsi="Times New Roman" w:cs="Times New Roman" w:hint="cs"/>
          <w:b/>
          <w:bCs/>
          <w:rtl/>
        </w:rPr>
        <w:t>‌</w:t>
      </w:r>
      <w:r w:rsidRPr="008C7124">
        <w:rPr>
          <w:rStyle w:val="Char9"/>
          <w:rFonts w:hint="cs"/>
          <w:sz w:val="20"/>
          <w:szCs w:val="20"/>
          <w:rtl/>
        </w:rPr>
        <w:t>د</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6E28E9">
        <w:rPr>
          <w:rStyle w:val="FootnoteReference"/>
          <w:rFonts w:hint="cs"/>
          <w:vertAlign w:val="baseline"/>
          <w:rtl/>
        </w:rPr>
        <w:t xml:space="preserve"> [محاربة الإلحاد]، ص 172.</w:t>
      </w:r>
    </w:p>
  </w:footnote>
  <w:footnote w:id="24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أ</w:t>
      </w:r>
      <w:r w:rsidRPr="006E28E9">
        <w:rPr>
          <w:rFonts w:hint="cs"/>
          <w:rtl/>
        </w:rPr>
        <w:t>ُ</w:t>
      </w:r>
      <w:r w:rsidRPr="006E28E9">
        <w:rPr>
          <w:rStyle w:val="FootnoteReference"/>
          <w:rFonts w:hint="cs"/>
          <w:vertAlign w:val="baseline"/>
          <w:rtl/>
        </w:rPr>
        <w:t xml:space="preserve">لِّفَ كتاب </w:t>
      </w:r>
      <w:r w:rsidRPr="006E28E9">
        <w:rPr>
          <w:rFonts w:hint="cs"/>
          <w:rtl/>
          <w:lang w:bidi="ar-SY"/>
        </w:rPr>
        <w:t>«</w:t>
      </w:r>
      <w:r w:rsidRPr="006E28E9">
        <w:rPr>
          <w:rFonts w:hint="cs"/>
          <w:b/>
          <w:bCs/>
          <w:rtl/>
          <w:lang w:bidi="ar-SY"/>
        </w:rPr>
        <w:t>كَسْ</w:t>
      </w:r>
      <w:r w:rsidRPr="006E28E9">
        <w:rPr>
          <w:rStyle w:val="FootnoteReference"/>
          <w:rFonts w:hint="cs"/>
          <w:b/>
          <w:bCs/>
          <w:vertAlign w:val="baseline"/>
          <w:rtl/>
        </w:rPr>
        <w:t xml:space="preserve">ر كسروي </w:t>
      </w:r>
      <w:r w:rsidRPr="006E28E9">
        <w:rPr>
          <w:rFonts w:hint="cs"/>
          <w:b/>
          <w:bCs/>
          <w:rtl/>
        </w:rPr>
        <w:t xml:space="preserve">أو </w:t>
      </w:r>
      <w:r w:rsidRPr="006E28E9">
        <w:rPr>
          <w:rStyle w:val="FootnoteReference"/>
          <w:rFonts w:hint="cs"/>
          <w:b/>
          <w:bCs/>
          <w:vertAlign w:val="baseline"/>
          <w:rtl/>
        </w:rPr>
        <w:t>العلاقة بين الإسلام والديمقراطية</w:t>
      </w:r>
      <w:r w:rsidRPr="006E28E9">
        <w:rPr>
          <w:rFonts w:hint="cs"/>
          <w:b/>
          <w:bCs/>
          <w:rtl/>
          <w:lang w:bidi="ar-SY"/>
        </w:rPr>
        <w:t>»</w:t>
      </w:r>
      <w:r w:rsidRPr="006E28E9">
        <w:rPr>
          <w:rStyle w:val="FootnoteReference"/>
          <w:rFonts w:hint="cs"/>
          <w:vertAlign w:val="baseline"/>
          <w:rtl/>
        </w:rPr>
        <w:t xml:space="preserve"> في الرد على أفكار أحمد كسروي الإلحادية، ويبدو أن هذا الكتاب أ</w:t>
      </w:r>
      <w:r w:rsidRPr="006E28E9">
        <w:rPr>
          <w:rFonts w:hint="cs"/>
          <w:rtl/>
        </w:rPr>
        <w:t>ُ</w:t>
      </w:r>
      <w:r w:rsidRPr="006E28E9">
        <w:rPr>
          <w:rStyle w:val="FootnoteReference"/>
          <w:rFonts w:hint="cs"/>
          <w:vertAlign w:val="baseline"/>
          <w:rtl/>
        </w:rPr>
        <w:t xml:space="preserve">لِّفَ سنة 1322 هـ.ش </w:t>
      </w:r>
      <w:r w:rsidRPr="006E28E9">
        <w:rPr>
          <w:rFonts w:hint="cs"/>
          <w:rtl/>
        </w:rPr>
        <w:t>[1945م]</w:t>
      </w:r>
      <w:r w:rsidRPr="006E28E9">
        <w:rPr>
          <w:rStyle w:val="FootnoteReference"/>
          <w:rFonts w:hint="cs"/>
          <w:vertAlign w:val="baseline"/>
          <w:rtl/>
        </w:rPr>
        <w:t xml:space="preserve"> في شيراز (و</w:t>
      </w:r>
      <w:r w:rsidRPr="006E28E9">
        <w:rPr>
          <w:rFonts w:hint="cs"/>
          <w:rtl/>
        </w:rPr>
        <w:t xml:space="preserve">أُعيدت </w:t>
      </w:r>
      <w:r w:rsidRPr="006E28E9">
        <w:rPr>
          <w:rStyle w:val="FootnoteReference"/>
          <w:rFonts w:hint="cs"/>
          <w:vertAlign w:val="baseline"/>
          <w:rtl/>
        </w:rPr>
        <w:t>طباعته مرة</w:t>
      </w:r>
      <w:r w:rsidRPr="006E28E9">
        <w:rPr>
          <w:rFonts w:hint="cs"/>
          <w:rtl/>
        </w:rPr>
        <w:t>ً</w:t>
      </w:r>
      <w:r w:rsidRPr="006E28E9">
        <w:rPr>
          <w:rStyle w:val="FootnoteReference"/>
          <w:rFonts w:hint="cs"/>
          <w:vertAlign w:val="baseline"/>
          <w:rtl/>
        </w:rPr>
        <w:t xml:space="preserve"> ثانية</w:t>
      </w:r>
      <w:r w:rsidRPr="006E28E9">
        <w:rPr>
          <w:rFonts w:hint="cs"/>
          <w:rtl/>
        </w:rPr>
        <w:t>ً</w:t>
      </w:r>
      <w:r w:rsidRPr="006E28E9">
        <w:rPr>
          <w:rStyle w:val="FootnoteReference"/>
          <w:rFonts w:hint="cs"/>
          <w:vertAlign w:val="baseline"/>
          <w:rtl/>
        </w:rPr>
        <w:t xml:space="preserve"> سنة 1324 هـ.ش</w:t>
      </w:r>
      <w:r w:rsidRPr="006E28E9">
        <w:rPr>
          <w:rFonts w:hint="cs"/>
          <w:rtl/>
        </w:rPr>
        <w:t>/ 1947م</w:t>
      </w:r>
      <w:r w:rsidRPr="006E28E9">
        <w:rPr>
          <w:rStyle w:val="FootnoteReference"/>
          <w:rFonts w:hint="cs"/>
          <w:vertAlign w:val="baseline"/>
          <w:rtl/>
        </w:rPr>
        <w:t>)</w:t>
      </w:r>
      <w:r w:rsidRPr="006E28E9">
        <w:rPr>
          <w:rFonts w:hint="cs"/>
          <w:rtl/>
        </w:rPr>
        <w:t>.</w:t>
      </w:r>
      <w:r w:rsidRPr="006E28E9">
        <w:rPr>
          <w:rStyle w:val="FootnoteReference"/>
          <w:rFonts w:hint="cs"/>
          <w:vertAlign w:val="baseline"/>
          <w:rtl/>
        </w:rPr>
        <w:t xml:space="preserve"> لقد ازداد غرور كسروي بعد تاريخ 20 شهريور وأصبح يشعر أن هناك رسالة نبوية ملقاة على عاتقه! وبلغ به الغرور أن ادعى متسائلاً</w:t>
      </w:r>
      <w:r w:rsidRPr="006E28E9">
        <w:rPr>
          <w:rFonts w:hint="cs"/>
          <w:rtl/>
        </w:rPr>
        <w:t>:</w:t>
      </w:r>
      <w:r w:rsidRPr="006E28E9">
        <w:rPr>
          <w:rStyle w:val="FootnoteReference"/>
          <w:rFonts w:hint="cs"/>
          <w:vertAlign w:val="baseline"/>
          <w:rtl/>
        </w:rPr>
        <w:t xml:space="preserve"> لماذا لا يواجه</w:t>
      </w:r>
      <w:r w:rsidRPr="006E28E9">
        <w:rPr>
          <w:rFonts w:hint="cs"/>
          <w:rtl/>
        </w:rPr>
        <w:t>ه</w:t>
      </w:r>
      <w:r w:rsidRPr="006E28E9">
        <w:rPr>
          <w:rStyle w:val="FootnoteReference"/>
          <w:rFonts w:hint="cs"/>
          <w:vertAlign w:val="baseline"/>
          <w:rtl/>
        </w:rPr>
        <w:t xml:space="preserve"> علماء </w:t>
      </w:r>
      <w:r w:rsidRPr="006E28E9">
        <w:rPr>
          <w:rFonts w:hint="cs"/>
          <w:rtl/>
        </w:rPr>
        <w:t xml:space="preserve">الدين </w:t>
      </w:r>
      <w:r w:rsidRPr="006E28E9">
        <w:rPr>
          <w:rStyle w:val="FootnoteReference"/>
          <w:rFonts w:hint="cs"/>
          <w:vertAlign w:val="baseline"/>
          <w:rtl/>
        </w:rPr>
        <w:t>الشيعة ويناقشو</w:t>
      </w:r>
      <w:r w:rsidRPr="006E28E9">
        <w:rPr>
          <w:rFonts w:hint="cs"/>
          <w:rtl/>
        </w:rPr>
        <w:t>ن</w:t>
      </w:r>
      <w:r w:rsidRPr="006E28E9">
        <w:rPr>
          <w:rStyle w:val="FootnoteReference"/>
          <w:rFonts w:hint="cs"/>
          <w:vertAlign w:val="baseline"/>
          <w:rtl/>
        </w:rPr>
        <w:t>ه ويرد</w:t>
      </w:r>
      <w:r w:rsidRPr="006E28E9">
        <w:rPr>
          <w:rFonts w:hint="cs"/>
          <w:rtl/>
        </w:rPr>
        <w:t>ُّ</w:t>
      </w:r>
      <w:r w:rsidRPr="006E28E9">
        <w:rPr>
          <w:rStyle w:val="FootnoteReference"/>
          <w:rFonts w:hint="cs"/>
          <w:vertAlign w:val="baseline"/>
          <w:rtl/>
        </w:rPr>
        <w:t>ون على أفكاره؟ وعندما طرح هذا الادعاء والتحدي في صحيفة كيهان، ق</w:t>
      </w:r>
      <w:r w:rsidRPr="006E28E9">
        <w:rPr>
          <w:rFonts w:hint="cs"/>
          <w:rtl/>
        </w:rPr>
        <w:t>َ</w:t>
      </w:r>
      <w:r w:rsidRPr="006E28E9">
        <w:rPr>
          <w:rStyle w:val="FootnoteReference"/>
          <w:rFonts w:hint="cs"/>
          <w:vertAlign w:val="baseline"/>
          <w:rtl/>
        </w:rPr>
        <w:t>بِلَ آية</w:t>
      </w:r>
      <w:r w:rsidRPr="006E28E9">
        <w:rPr>
          <w:rFonts w:hint="cs"/>
          <w:rtl/>
        </w:rPr>
        <w:t>ُ</w:t>
      </w:r>
      <w:r w:rsidRPr="006E28E9">
        <w:rPr>
          <w:rStyle w:val="FootnoteReference"/>
          <w:rFonts w:hint="cs"/>
          <w:vertAlign w:val="baseline"/>
          <w:rtl/>
        </w:rPr>
        <w:t xml:space="preserve"> الله السيد نور الدين </w:t>
      </w:r>
      <w:r w:rsidRPr="006E28E9">
        <w:rPr>
          <w:rFonts w:hint="cs"/>
          <w:rtl/>
        </w:rPr>
        <w:t>ال</w:t>
      </w:r>
      <w:r w:rsidRPr="006E28E9">
        <w:rPr>
          <w:rStyle w:val="FootnoteReference"/>
          <w:rFonts w:hint="cs"/>
          <w:vertAlign w:val="baseline"/>
          <w:rtl/>
        </w:rPr>
        <w:t xml:space="preserve">شيرازي طلبه للمناظرة. </w:t>
      </w:r>
      <w:r w:rsidRPr="006E28E9">
        <w:rPr>
          <w:rFonts w:hint="cs"/>
          <w:rtl/>
        </w:rPr>
        <w:t>ف</w:t>
      </w:r>
      <w:r w:rsidRPr="006E28E9">
        <w:rPr>
          <w:rStyle w:val="FootnoteReference"/>
          <w:rFonts w:hint="cs"/>
          <w:vertAlign w:val="baseline"/>
          <w:rtl/>
        </w:rPr>
        <w:t>أعلن كسروي بعد مدة وجيزة أنه لم يكن يقصد المناظرة وجهاً لوجه، ب</w:t>
      </w:r>
      <w:r w:rsidRPr="006E28E9">
        <w:rPr>
          <w:rFonts w:hint="cs"/>
          <w:rtl/>
        </w:rPr>
        <w:t>ل</w:t>
      </w:r>
      <w:r w:rsidRPr="006E28E9">
        <w:rPr>
          <w:rStyle w:val="FootnoteReference"/>
          <w:rFonts w:hint="cs"/>
          <w:vertAlign w:val="baseline"/>
          <w:rtl/>
        </w:rPr>
        <w:t xml:space="preserve"> ي</w:t>
      </w:r>
      <w:r w:rsidRPr="006E28E9">
        <w:rPr>
          <w:rFonts w:hint="cs"/>
          <w:rtl/>
        </w:rPr>
        <w:t>نتظر</w:t>
      </w:r>
      <w:r w:rsidRPr="006E28E9">
        <w:rPr>
          <w:rStyle w:val="FootnoteReference"/>
          <w:rFonts w:hint="cs"/>
          <w:vertAlign w:val="baseline"/>
          <w:rtl/>
        </w:rPr>
        <w:t xml:space="preserve"> فقط أن يجيب علماء الشيعة من الطراز الأول عمَّا ذكر</w:t>
      </w:r>
      <w:r w:rsidRPr="006E28E9">
        <w:rPr>
          <w:rFonts w:hint="cs"/>
          <w:rtl/>
        </w:rPr>
        <w:t>ه</w:t>
      </w:r>
      <w:r w:rsidRPr="006E28E9">
        <w:rPr>
          <w:rStyle w:val="FootnoteReference"/>
          <w:rFonts w:hint="cs"/>
          <w:vertAlign w:val="baseline"/>
          <w:rtl/>
        </w:rPr>
        <w:t xml:space="preserve"> في كتبه حول الشيعة [الإمامية] لاسيما ما ذكره في كتابه </w:t>
      </w:r>
      <w:r w:rsidRPr="008C7124">
        <w:rPr>
          <w:rStyle w:val="Char9"/>
          <w:rFonts w:hint="cs"/>
          <w:sz w:val="20"/>
          <w:szCs w:val="20"/>
          <w:rtl/>
        </w:rPr>
        <w:t>ش</w:t>
      </w:r>
      <w:r>
        <w:rPr>
          <w:rStyle w:val="Char9"/>
          <w:rFonts w:hint="cs"/>
          <w:sz w:val="20"/>
          <w:szCs w:val="20"/>
          <w:rtl/>
        </w:rPr>
        <w:t>ی</w:t>
      </w:r>
      <w:r w:rsidRPr="008C7124">
        <w:rPr>
          <w:rStyle w:val="Char9"/>
          <w:rFonts w:hint="cs"/>
          <w:sz w:val="20"/>
          <w:szCs w:val="20"/>
          <w:rtl/>
        </w:rPr>
        <w:t>ع</w:t>
      </w:r>
      <w:r>
        <w:rPr>
          <w:rStyle w:val="Char9"/>
          <w:rFonts w:hint="cs"/>
          <w:sz w:val="20"/>
          <w:szCs w:val="20"/>
          <w:rtl/>
        </w:rPr>
        <w:t>ی</w:t>
      </w:r>
      <w:r w:rsidRPr="008C7124">
        <w:rPr>
          <w:rStyle w:val="Char9"/>
          <w:rFonts w:hint="cs"/>
          <w:sz w:val="20"/>
          <w:szCs w:val="20"/>
          <w:rtl/>
        </w:rPr>
        <w:t>گر</w:t>
      </w:r>
      <w:r>
        <w:rPr>
          <w:rStyle w:val="Char9"/>
          <w:rFonts w:hint="cs"/>
          <w:sz w:val="20"/>
          <w:szCs w:val="20"/>
          <w:rtl/>
        </w:rPr>
        <w:t>ی</w:t>
      </w:r>
      <w:r w:rsidRPr="008C7124">
        <w:rPr>
          <w:rStyle w:val="Char9"/>
          <w:rFonts w:hint="cs"/>
          <w:sz w:val="20"/>
          <w:szCs w:val="20"/>
          <w:rtl/>
        </w:rPr>
        <w:t xml:space="preserve"> </w:t>
      </w:r>
      <w:r w:rsidRPr="006E28E9">
        <w:rPr>
          <w:rFonts w:hint="cs"/>
          <w:rtl/>
          <w:lang w:bidi="ar-SY"/>
        </w:rPr>
        <w:t>[الشيعة والتشيع]</w:t>
      </w:r>
      <w:r w:rsidRPr="006E28E9">
        <w:rPr>
          <w:rStyle w:val="FootnoteReference"/>
          <w:rFonts w:hint="cs"/>
          <w:vertAlign w:val="baseline"/>
          <w:rtl/>
        </w:rPr>
        <w:t>؛ وعلى كل حال كتب ك</w:t>
      </w:r>
      <w:r w:rsidRPr="006E28E9">
        <w:rPr>
          <w:rFonts w:hint="cs"/>
          <w:rtl/>
        </w:rPr>
        <w:t>لمات مختصرة تضمنت</w:t>
      </w:r>
      <w:r w:rsidRPr="006E28E9">
        <w:rPr>
          <w:rStyle w:val="FootnoteReference"/>
          <w:rFonts w:hint="cs"/>
          <w:vertAlign w:val="baseline"/>
          <w:rtl/>
        </w:rPr>
        <w:t xml:space="preserve"> بضع أسئلة</w:t>
      </w:r>
      <w:r w:rsidRPr="006E28E9">
        <w:rPr>
          <w:rFonts w:hint="cs"/>
          <w:rtl/>
        </w:rPr>
        <w:t>.</w:t>
      </w:r>
      <w:r w:rsidRPr="006E28E9">
        <w:rPr>
          <w:rStyle w:val="FootnoteReference"/>
          <w:rFonts w:hint="cs"/>
          <w:vertAlign w:val="baseline"/>
          <w:rtl/>
        </w:rPr>
        <w:t xml:space="preserve"> ب</w:t>
      </w:r>
      <w:r w:rsidRPr="006E28E9">
        <w:rPr>
          <w:rFonts w:hint="cs"/>
          <w:rtl/>
        </w:rPr>
        <w:t>عد ذلك</w:t>
      </w:r>
      <w:r w:rsidRPr="006E28E9">
        <w:rPr>
          <w:rStyle w:val="FootnoteReference"/>
          <w:rFonts w:hint="cs"/>
          <w:vertAlign w:val="baseline"/>
          <w:rtl/>
        </w:rPr>
        <w:t xml:space="preserve"> قام آية الله السيد نور الدين شيرازي بالرد على إشكالات كسروي. واستمر هذا الرد والإيراد</w:t>
      </w:r>
      <w:r w:rsidRPr="006E28E9">
        <w:rPr>
          <w:rFonts w:hint="cs"/>
          <w:rtl/>
        </w:rPr>
        <w:t xml:space="preserve">، إلى أن تمت طباعة </w:t>
      </w:r>
      <w:r w:rsidRPr="006E28E9">
        <w:rPr>
          <w:rStyle w:val="FootnoteReference"/>
          <w:rFonts w:hint="cs"/>
          <w:vertAlign w:val="baseline"/>
          <w:rtl/>
        </w:rPr>
        <w:t>مجموع كتابات آية الله السيد نور الدين الشيرازي مع بعض مقالات كسروي أو بعض الجمل من كلام كسروي ا</w:t>
      </w:r>
      <w:r w:rsidRPr="006E28E9">
        <w:rPr>
          <w:rFonts w:hint="cs"/>
          <w:rtl/>
        </w:rPr>
        <w:t>لتي</w:t>
      </w:r>
      <w:r w:rsidRPr="006E28E9">
        <w:rPr>
          <w:rStyle w:val="FootnoteReference"/>
          <w:rFonts w:hint="cs"/>
          <w:vertAlign w:val="baseline"/>
          <w:rtl/>
        </w:rPr>
        <w:t xml:space="preserve"> رد </w:t>
      </w:r>
      <w:r w:rsidRPr="006E28E9">
        <w:rPr>
          <w:rFonts w:hint="cs"/>
          <w:rtl/>
        </w:rPr>
        <w:t xml:space="preserve">عليها </w:t>
      </w:r>
      <w:r w:rsidRPr="006E28E9">
        <w:rPr>
          <w:rStyle w:val="FootnoteReference"/>
          <w:rFonts w:hint="cs"/>
          <w:vertAlign w:val="baseline"/>
          <w:rtl/>
        </w:rPr>
        <w:t xml:space="preserve">آية الله، في كتاب واحد. </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يستحق هذا الكتاب الاهتمام به في مجال الفكر السياسي الشيعي نظراً إلى اشتماله على آراء آية الله السيد نور الدين الشيرازي السياسية البديعة. فنحن نعلم أن كسروي وعدد</w:t>
      </w:r>
      <w:r w:rsidRPr="006E28E9">
        <w:rPr>
          <w:rFonts w:hint="cs"/>
          <w:rtl/>
        </w:rPr>
        <w:t>ًا</w:t>
      </w:r>
      <w:r w:rsidRPr="006E28E9">
        <w:rPr>
          <w:rStyle w:val="FootnoteReference"/>
          <w:rFonts w:hint="cs"/>
          <w:vertAlign w:val="baseline"/>
          <w:rtl/>
        </w:rPr>
        <w:t xml:space="preserve"> آخر</w:t>
      </w:r>
      <w:r w:rsidRPr="006E28E9">
        <w:rPr>
          <w:rFonts w:hint="cs"/>
          <w:rtl/>
        </w:rPr>
        <w:t>َ</w:t>
      </w:r>
      <w:r w:rsidRPr="006E28E9">
        <w:rPr>
          <w:rStyle w:val="FootnoteReference"/>
          <w:rFonts w:hint="cs"/>
          <w:vertAlign w:val="baseline"/>
          <w:rtl/>
        </w:rPr>
        <w:t xml:space="preserve"> من الأفراد في ذلك الزمن كانوا يسعون إ</w:t>
      </w:r>
      <w:r w:rsidRPr="006E28E9">
        <w:rPr>
          <w:rFonts w:hint="cs"/>
          <w:rtl/>
        </w:rPr>
        <w:t>لى إيجاد</w:t>
      </w:r>
      <w:r w:rsidRPr="006E28E9">
        <w:rPr>
          <w:rStyle w:val="FootnoteReference"/>
          <w:rFonts w:hint="cs"/>
          <w:vertAlign w:val="baseline"/>
          <w:rtl/>
        </w:rPr>
        <w:t xml:space="preserve"> فرقة بين علماء الدين و</w:t>
      </w:r>
      <w:r w:rsidRPr="006E28E9">
        <w:rPr>
          <w:rFonts w:hint="cs"/>
          <w:rtl/>
        </w:rPr>
        <w:t>النهضة</w:t>
      </w:r>
      <w:r w:rsidRPr="006E28E9">
        <w:rPr>
          <w:rStyle w:val="FootnoteReference"/>
          <w:rFonts w:hint="cs"/>
          <w:vertAlign w:val="baseline"/>
          <w:rtl/>
        </w:rPr>
        <w:t xml:space="preserve"> الدستورية بحجة </w:t>
      </w:r>
      <w:r w:rsidRPr="006E28E9">
        <w:rPr>
          <w:rFonts w:hint="cs"/>
          <w:rtl/>
        </w:rPr>
        <w:t xml:space="preserve">وجود </w:t>
      </w:r>
      <w:r w:rsidRPr="006E28E9">
        <w:rPr>
          <w:rStyle w:val="FootnoteReference"/>
          <w:rFonts w:hint="cs"/>
          <w:vertAlign w:val="baseline"/>
          <w:rtl/>
        </w:rPr>
        <w:t>اختلاف في الفكر السياسي بينهما، يريدون بهذا أن يمنعوا رجال الدولة في إيران بعد عهد رضا شاه م</w:t>
      </w:r>
      <w:r w:rsidRPr="006E28E9">
        <w:rPr>
          <w:rFonts w:hint="cs"/>
          <w:rtl/>
        </w:rPr>
        <w:t>ن إحسان الظن</w:t>
      </w:r>
      <w:r w:rsidRPr="006E28E9">
        <w:rPr>
          <w:rStyle w:val="FootnoteReference"/>
          <w:rFonts w:hint="cs"/>
          <w:vertAlign w:val="baseline"/>
          <w:rtl/>
        </w:rPr>
        <w:t xml:space="preserve"> </w:t>
      </w:r>
      <w:r w:rsidRPr="006E28E9">
        <w:rPr>
          <w:rFonts w:hint="cs"/>
          <w:rtl/>
        </w:rPr>
        <w:t>ب</w:t>
      </w:r>
      <w:r w:rsidRPr="006E28E9">
        <w:rPr>
          <w:rStyle w:val="FootnoteReference"/>
          <w:rFonts w:hint="cs"/>
          <w:vertAlign w:val="baseline"/>
          <w:rtl/>
        </w:rPr>
        <w:t>مراجع التقليد</w:t>
      </w:r>
      <w:r w:rsidRPr="006E28E9">
        <w:rPr>
          <w:rFonts w:hint="cs"/>
          <w:rtl/>
        </w:rPr>
        <w:t xml:space="preserve"> وإبداء الودّ لهم</w:t>
      </w:r>
      <w:r w:rsidRPr="006E28E9">
        <w:rPr>
          <w:rStyle w:val="FootnoteReference"/>
          <w:rFonts w:hint="cs"/>
          <w:vertAlign w:val="baseline"/>
          <w:rtl/>
        </w:rPr>
        <w:t>. كان كسروي يعتبر الحركة الدستورية ظاهرة غير دينية من الأساس</w:t>
      </w:r>
      <w:r w:rsidRPr="006E28E9">
        <w:rPr>
          <w:rFonts w:hint="cs"/>
          <w:rtl/>
        </w:rPr>
        <w:t>،</w:t>
      </w:r>
      <w:r w:rsidRPr="006E28E9">
        <w:rPr>
          <w:rStyle w:val="FootnoteReference"/>
          <w:rFonts w:hint="cs"/>
          <w:vertAlign w:val="baseline"/>
          <w:rtl/>
        </w:rPr>
        <w:t xml:space="preserve"> ولم يكن يرى أي توافق بين أفكار ا</w:t>
      </w:r>
      <w:r w:rsidRPr="006E28E9">
        <w:rPr>
          <w:rFonts w:hint="cs"/>
          <w:rtl/>
        </w:rPr>
        <w:t>لحركة</w:t>
      </w:r>
      <w:r w:rsidRPr="006E28E9">
        <w:rPr>
          <w:rStyle w:val="FootnoteReference"/>
          <w:rFonts w:hint="cs"/>
          <w:vertAlign w:val="baseline"/>
          <w:rtl/>
        </w:rPr>
        <w:t xml:space="preserve"> الدستورية والفكر السياسي لدى الشيعة. و</w:t>
      </w:r>
      <w:r w:rsidRPr="006E28E9">
        <w:rPr>
          <w:rFonts w:hint="cs"/>
          <w:rtl/>
        </w:rPr>
        <w:t xml:space="preserve">قد </w:t>
      </w:r>
      <w:r w:rsidRPr="006E28E9">
        <w:rPr>
          <w:rStyle w:val="FootnoteReference"/>
          <w:rFonts w:hint="cs"/>
          <w:vertAlign w:val="baseline"/>
          <w:rtl/>
        </w:rPr>
        <w:t xml:space="preserve">جاء هذا الموضوع أيضًا في كتاب </w:t>
      </w:r>
      <w:r w:rsidRPr="008C7124">
        <w:rPr>
          <w:rStyle w:val="Char9"/>
          <w:rFonts w:hint="cs"/>
          <w:sz w:val="20"/>
          <w:szCs w:val="20"/>
          <w:rtl/>
        </w:rPr>
        <w:t>أسرار هزار ساله</w:t>
      </w:r>
      <w:r w:rsidRPr="006E28E9">
        <w:rPr>
          <w:rStyle w:val="FootnoteReference"/>
          <w:rFonts w:hint="cs"/>
          <w:vertAlign w:val="baseline"/>
          <w:rtl/>
        </w:rPr>
        <w:t xml:space="preserve"> [أسرار ألف عام] الذي ألفه حكمي زاده، كما شوهد </w:t>
      </w:r>
      <w:r w:rsidRPr="006E28E9">
        <w:rPr>
          <w:rFonts w:hint="cs"/>
          <w:rtl/>
        </w:rPr>
        <w:t xml:space="preserve">مثل طرح </w:t>
      </w:r>
      <w:r w:rsidRPr="006E28E9">
        <w:rPr>
          <w:rStyle w:val="FootnoteReference"/>
          <w:rFonts w:hint="cs"/>
          <w:vertAlign w:val="baseline"/>
          <w:rtl/>
        </w:rPr>
        <w:t>هذا ال</w:t>
      </w:r>
      <w:r w:rsidRPr="006E28E9">
        <w:rPr>
          <w:rFonts w:hint="cs"/>
          <w:rtl/>
        </w:rPr>
        <w:t>كلام</w:t>
      </w:r>
      <w:r w:rsidRPr="006E28E9">
        <w:rPr>
          <w:rStyle w:val="FootnoteReference"/>
          <w:rFonts w:hint="cs"/>
          <w:vertAlign w:val="baseline"/>
          <w:rtl/>
        </w:rPr>
        <w:t xml:space="preserve"> أيضًا قبل ذلك في الأفكار السياسية لبعض المتجددين في عصر النهضة الدستورية.</w:t>
      </w:r>
    </w:p>
    <w:p w:rsidR="008C7124" w:rsidRPr="006E28E9" w:rsidRDefault="008C7124" w:rsidP="001809AD">
      <w:pPr>
        <w:pStyle w:val="FootnoteText"/>
        <w:ind w:firstLine="0"/>
        <w:rPr>
          <w:rStyle w:val="FootnoteReference"/>
          <w:vertAlign w:val="baseline"/>
        </w:rPr>
      </w:pPr>
      <w:r w:rsidRPr="006E28E9">
        <w:rPr>
          <w:rStyle w:val="FootnoteReference"/>
          <w:rFonts w:hint="cs"/>
          <w:vertAlign w:val="baseline"/>
          <w:rtl/>
        </w:rPr>
        <w:t>ل</w:t>
      </w:r>
      <w:r w:rsidRPr="006E28E9">
        <w:rPr>
          <w:rFonts w:hint="cs"/>
          <w:rtl/>
        </w:rPr>
        <w:t>كن على العكس من ذلك كان لدى</w:t>
      </w:r>
      <w:r w:rsidRPr="006E28E9">
        <w:rPr>
          <w:rStyle w:val="FootnoteReference"/>
          <w:rFonts w:hint="cs"/>
          <w:vertAlign w:val="baseline"/>
          <w:rtl/>
        </w:rPr>
        <w:t xml:space="preserve"> آية الله السيد نور الدين الشيرازي نظرة إيجابية لتعاون علماء </w:t>
      </w:r>
      <w:r w:rsidRPr="006E28E9">
        <w:rPr>
          <w:rFonts w:hint="cs"/>
          <w:rtl/>
        </w:rPr>
        <w:t xml:space="preserve">الدين في </w:t>
      </w:r>
      <w:r w:rsidRPr="006E28E9">
        <w:rPr>
          <w:rStyle w:val="FootnoteReference"/>
          <w:rFonts w:hint="cs"/>
          <w:vertAlign w:val="baseline"/>
          <w:rtl/>
        </w:rPr>
        <w:t>ع</w:t>
      </w:r>
      <w:r w:rsidRPr="006E28E9">
        <w:rPr>
          <w:rFonts w:hint="cs"/>
          <w:rtl/>
        </w:rPr>
        <w:t>هد الثورة</w:t>
      </w:r>
      <w:r w:rsidRPr="006E28E9">
        <w:rPr>
          <w:rStyle w:val="FootnoteReference"/>
          <w:rFonts w:hint="cs"/>
          <w:vertAlign w:val="baseline"/>
          <w:rtl/>
        </w:rPr>
        <w:t xml:space="preserve"> الدستورية مع تلك ا</w:t>
      </w:r>
      <w:r w:rsidRPr="006E28E9">
        <w:rPr>
          <w:rFonts w:hint="cs"/>
          <w:rtl/>
        </w:rPr>
        <w:t>لثورة</w:t>
      </w:r>
      <w:r w:rsidRPr="006E28E9">
        <w:rPr>
          <w:rStyle w:val="FootnoteReference"/>
          <w:rFonts w:hint="cs"/>
          <w:vertAlign w:val="baseline"/>
          <w:rtl/>
        </w:rPr>
        <w:t xml:space="preserve"> </w:t>
      </w:r>
      <w:r w:rsidRPr="006E28E9">
        <w:rPr>
          <w:rFonts w:hint="cs"/>
          <w:rtl/>
        </w:rPr>
        <w:t xml:space="preserve">الدستورية </w:t>
      </w:r>
      <w:r w:rsidRPr="006E28E9">
        <w:rPr>
          <w:rStyle w:val="FootnoteReference"/>
          <w:rFonts w:hint="cs"/>
          <w:vertAlign w:val="baseline"/>
          <w:rtl/>
        </w:rPr>
        <w:t>وتأييدهم لها، وقد سعى إلى بيان أن علماء الشيعة كانوا موافقين على م</w:t>
      </w:r>
      <w:r w:rsidRPr="006E28E9">
        <w:rPr>
          <w:rFonts w:hint="cs"/>
          <w:rtl/>
        </w:rPr>
        <w:t>بدأ الحكم</w:t>
      </w:r>
      <w:r w:rsidRPr="006E28E9">
        <w:rPr>
          <w:rStyle w:val="FootnoteReference"/>
          <w:rFonts w:hint="cs"/>
          <w:vertAlign w:val="baseline"/>
          <w:rtl/>
        </w:rPr>
        <w:t xml:space="preserve"> الدستوري، وأنهم لم يكونوا ي</w:t>
      </w:r>
      <w:r w:rsidRPr="006E28E9">
        <w:rPr>
          <w:rFonts w:hint="cs"/>
          <w:rtl/>
        </w:rPr>
        <w:t>طالبون</w:t>
      </w:r>
      <w:r w:rsidRPr="006E28E9">
        <w:rPr>
          <w:rStyle w:val="FootnoteReference"/>
          <w:rFonts w:hint="cs"/>
          <w:vertAlign w:val="baseline"/>
          <w:rtl/>
        </w:rPr>
        <w:t xml:space="preserve"> سوى ب</w:t>
      </w:r>
      <w:r w:rsidRPr="006E28E9">
        <w:rPr>
          <w:rFonts w:hint="cs"/>
          <w:rtl/>
        </w:rPr>
        <w:t xml:space="preserve">إقرار مبدأ </w:t>
      </w:r>
      <w:r w:rsidRPr="006E28E9">
        <w:rPr>
          <w:rStyle w:val="FootnoteReference"/>
          <w:rFonts w:hint="cs"/>
          <w:vertAlign w:val="baseline"/>
          <w:rtl/>
        </w:rPr>
        <w:t>الإشراف والمراقبة على ما يصادق عليه مجلس النواب ليضمنوا مراعاته لأحكام الشريعة الإسلامية، ولا يريدون سلطة أكثر من ذلك. إضافة إلى تأكيده -من الناحية التاريخية- على تأييد علماء</w:t>
      </w:r>
      <w:r w:rsidRPr="006E28E9">
        <w:rPr>
          <w:rFonts w:hint="cs"/>
          <w:rtl/>
        </w:rPr>
        <w:t xml:space="preserve"> الدين</w:t>
      </w:r>
      <w:r w:rsidRPr="006E28E9">
        <w:rPr>
          <w:rStyle w:val="FootnoteReference"/>
          <w:rFonts w:hint="cs"/>
          <w:vertAlign w:val="baseline"/>
          <w:rtl/>
        </w:rPr>
        <w:t xml:space="preserve"> للثورة الدستورية، ب</w:t>
      </w:r>
      <w:r w:rsidRPr="006E28E9">
        <w:rPr>
          <w:rFonts w:hint="cs"/>
          <w:rtl/>
        </w:rPr>
        <w:t>يَّن</w:t>
      </w:r>
      <w:r w:rsidRPr="006E28E9">
        <w:rPr>
          <w:rStyle w:val="FootnoteReference"/>
          <w:rFonts w:hint="cs"/>
          <w:vertAlign w:val="baseline"/>
          <w:rtl/>
        </w:rPr>
        <w:t xml:space="preserve"> آية الله نور الدين الشيرازي موضوع</w:t>
      </w:r>
      <w:r w:rsidRPr="006E28E9">
        <w:rPr>
          <w:rFonts w:hint="cs"/>
          <w:rtl/>
        </w:rPr>
        <w:t>ًا</w:t>
      </w:r>
      <w:r w:rsidRPr="006E28E9">
        <w:rPr>
          <w:rStyle w:val="FootnoteReference"/>
          <w:rFonts w:hint="cs"/>
          <w:vertAlign w:val="baseline"/>
          <w:rtl/>
        </w:rPr>
        <w:t xml:space="preserve"> أكثر أهمية</w:t>
      </w:r>
      <w:r w:rsidRPr="006E28E9">
        <w:rPr>
          <w:rFonts w:hint="cs"/>
          <w:rtl/>
        </w:rPr>
        <w:t>ً</w:t>
      </w:r>
      <w:r w:rsidRPr="006E28E9">
        <w:rPr>
          <w:rStyle w:val="FootnoteReference"/>
          <w:rFonts w:hint="cs"/>
          <w:vertAlign w:val="baseline"/>
          <w:rtl/>
        </w:rPr>
        <w:t xml:space="preserve"> وهو موضوع العلاقة بين الإسلام والديمقراطية. كان يرى في الإسلام بشكل عام وفي مذهب التشيع بشكل خاص الشكل التام والكامل للديمقراطية، وكان يعتقد أن على الشعب الإيراني أن يبني مستقبله استناداً إلى هويته وعقيدته الخاصة به. في الواقع كان عنوان كتابه الأول: </w:t>
      </w:r>
      <w:r>
        <w:rPr>
          <w:rStyle w:val="Char9"/>
          <w:rFonts w:hint="cs"/>
          <w:sz w:val="20"/>
          <w:szCs w:val="20"/>
          <w:rtl/>
        </w:rPr>
        <w:t>ک</w:t>
      </w:r>
      <w:r w:rsidRPr="008C7124">
        <w:rPr>
          <w:rStyle w:val="Char9"/>
          <w:rFonts w:hint="cs"/>
          <w:sz w:val="20"/>
          <w:szCs w:val="20"/>
          <w:rtl/>
        </w:rPr>
        <w:t xml:space="preserve">سر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Style w:val="FootnoteReference"/>
          <w:rFonts w:hint="cs"/>
          <w:vertAlign w:val="baseline"/>
          <w:rtl/>
        </w:rPr>
        <w:t xml:space="preserve">، وعنوانه الثاني الذي ذكر تحته: </w:t>
      </w:r>
      <w:r w:rsidRPr="006E28E9">
        <w:rPr>
          <w:rStyle w:val="FootnoteReference"/>
          <w:rFonts w:hint="cs"/>
          <w:b/>
          <w:bCs/>
          <w:vertAlign w:val="baseline"/>
          <w:rtl/>
        </w:rPr>
        <w:t>علاقة الإسلام بالديمقراطية</w:t>
      </w:r>
      <w:r w:rsidRPr="006E28E9">
        <w:rPr>
          <w:rStyle w:val="FootnoteReference"/>
          <w:rFonts w:hint="cs"/>
          <w:vertAlign w:val="baseline"/>
          <w:rtl/>
        </w:rPr>
        <w:t>، ويبدو أن الاختيار الواعي لهذا العنوان للكتاب يكشف أهمية فكرة التوافق بين ديمقراطية المطالبين بالملكية الدستورية و</w:t>
      </w:r>
      <w:r w:rsidRPr="006E28E9">
        <w:rPr>
          <w:rFonts w:hint="cs"/>
          <w:rtl/>
        </w:rPr>
        <w:t>ا</w:t>
      </w:r>
      <w:r w:rsidRPr="006E28E9">
        <w:rPr>
          <w:rStyle w:val="FootnoteReference"/>
          <w:rFonts w:hint="cs"/>
          <w:vertAlign w:val="baseline"/>
          <w:rtl/>
        </w:rPr>
        <w:t xml:space="preserve">لقواعد السياسية للفكر الشيعي من وجهة نظر مؤلف الكتاب. وقد طبع كتاب </w:t>
      </w:r>
      <w:r>
        <w:rPr>
          <w:rStyle w:val="Char9"/>
          <w:rFonts w:hint="cs"/>
          <w:sz w:val="20"/>
          <w:szCs w:val="20"/>
          <w:rtl/>
        </w:rPr>
        <w:t>ک</w:t>
      </w:r>
      <w:r w:rsidRPr="008C7124">
        <w:rPr>
          <w:rStyle w:val="Char9"/>
          <w:rFonts w:hint="cs"/>
          <w:sz w:val="20"/>
          <w:szCs w:val="20"/>
          <w:rtl/>
        </w:rPr>
        <w:t xml:space="preserve">سر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Style w:val="FootnoteReference"/>
          <w:rFonts w:hint="cs"/>
          <w:vertAlign w:val="baseline"/>
          <w:rtl/>
        </w:rPr>
        <w:t xml:space="preserve"> في شهر مرداد في سنة 1324 هـ.ش (شعبان 1364 هـ.ق) تحت عنوان المجلة الأولى والثانية.</w:t>
      </w:r>
    </w:p>
  </w:footnote>
  <w:footnote w:id="24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 xml:space="preserve">المذهب الوضعي </w:t>
      </w:r>
      <w:r w:rsidRPr="001809AD">
        <w:rPr>
          <w:rFonts w:asciiTheme="majorBidi" w:hAnsiTheme="majorBidi" w:cstheme="majorBidi"/>
          <w:sz w:val="22"/>
          <w:szCs w:val="22"/>
        </w:rPr>
        <w:t>Positivism</w:t>
      </w:r>
      <w:r w:rsidRPr="001809AD">
        <w:rPr>
          <w:rFonts w:hint="cs"/>
          <w:sz w:val="22"/>
          <w:szCs w:val="22"/>
          <w:rtl/>
          <w:lang w:bidi="ar-SY"/>
        </w:rPr>
        <w:t xml:space="preserve"> </w:t>
      </w:r>
      <w:r w:rsidRPr="006E28E9">
        <w:rPr>
          <w:rStyle w:val="FootnoteReference"/>
          <w:rFonts w:hint="cs"/>
          <w:vertAlign w:val="baseline"/>
          <w:rtl/>
        </w:rPr>
        <w:t>م</w:t>
      </w:r>
      <w:r w:rsidRPr="006E28E9">
        <w:rPr>
          <w:rFonts w:hint="cs"/>
          <w:rtl/>
        </w:rPr>
        <w:t>ذهب فلسفي يرى</w:t>
      </w:r>
      <w:r w:rsidRPr="006E28E9">
        <w:rPr>
          <w:rStyle w:val="FootnoteReference"/>
          <w:vertAlign w:val="baseline"/>
          <w:rtl/>
        </w:rPr>
        <w:t xml:space="preserve"> </w:t>
      </w:r>
      <w:r w:rsidRPr="006E28E9">
        <w:rPr>
          <w:rStyle w:val="FootnoteReference"/>
          <w:rFonts w:hint="cs"/>
          <w:vertAlign w:val="baseline"/>
          <w:rtl/>
        </w:rPr>
        <w:t>أ</w:t>
      </w:r>
      <w:r w:rsidRPr="006E28E9">
        <w:rPr>
          <w:rStyle w:val="FootnoteReference"/>
          <w:vertAlign w:val="baseline"/>
          <w:rtl/>
        </w:rPr>
        <w:t>ن المعرفة الصحيحة هي المعرفة المبنيّة على الواقع والتجربة</w:t>
      </w:r>
      <w:r w:rsidRPr="006E28E9">
        <w:rPr>
          <w:rFonts w:hint="cs"/>
          <w:rtl/>
        </w:rPr>
        <w:t xml:space="preserve"> فقط</w:t>
      </w:r>
      <w:r w:rsidRPr="006E28E9">
        <w:rPr>
          <w:rStyle w:val="FootnoteReference"/>
          <w:vertAlign w:val="baseline"/>
          <w:rtl/>
        </w:rPr>
        <w:t xml:space="preserve">، وأن العلوم التجريبية هي التي تحقق المثل الأعلى لليقين، وأن الفكر البشري لا يستطيع أن يجتنب اللفظية والخطأ، في العلم والفلسفة، إلا إذا اتصل بالتجربة، وأعرض عن كل </w:t>
      </w:r>
      <w:r w:rsidRPr="006E28E9">
        <w:rPr>
          <w:rStyle w:val="FootnoteReference"/>
          <w:rFonts w:hint="cs"/>
          <w:vertAlign w:val="baseline"/>
          <w:rtl/>
        </w:rPr>
        <w:t xml:space="preserve">أفكار </w:t>
      </w:r>
      <w:r w:rsidRPr="006E28E9">
        <w:rPr>
          <w:rStyle w:val="FootnoteReference"/>
          <w:vertAlign w:val="baseline"/>
          <w:rtl/>
        </w:rPr>
        <w:t>قبلية، وأن الشيء في ذاته لا يدرك، وأن الفكر لا يستطيع أن يدرك إلا العلاقات والقوانين</w:t>
      </w:r>
      <w:r w:rsidRPr="006E28E9">
        <w:rPr>
          <w:rStyle w:val="FootnoteReference"/>
          <w:rFonts w:hint="cs"/>
          <w:vertAlign w:val="baseline"/>
          <w:rtl/>
        </w:rPr>
        <w:t>.</w:t>
      </w:r>
      <w:r w:rsidRPr="006E28E9">
        <w:rPr>
          <w:rFonts w:hint="cs"/>
          <w:rtl/>
        </w:rPr>
        <w:t xml:space="preserve"> (المُتَرْجِمُ)</w:t>
      </w:r>
    </w:p>
  </w:footnote>
  <w:footnote w:id="24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راه رستگارى</w:t>
      </w:r>
      <w:r w:rsidRPr="006E28E9">
        <w:rPr>
          <w:rStyle w:val="FootnoteReference"/>
          <w:rFonts w:hint="cs"/>
          <w:vertAlign w:val="baseline"/>
          <w:rtl/>
        </w:rPr>
        <w:t xml:space="preserve"> (طريق الفلاح)، تأليف أحمد كسروى، طهران، نشر مجيد، 1378 هـ.ش.</w:t>
      </w:r>
      <w:r w:rsidRPr="006E28E9">
        <w:rPr>
          <w:rFonts w:hint="cs"/>
          <w:rtl/>
        </w:rPr>
        <w:t xml:space="preserve"> [1420هـ.ق/ 1999م]</w:t>
      </w:r>
      <w:r w:rsidRPr="006E28E9">
        <w:rPr>
          <w:rStyle w:val="FootnoteReference"/>
          <w:rFonts w:hint="cs"/>
          <w:vertAlign w:val="baseline"/>
          <w:rtl/>
        </w:rPr>
        <w:t xml:space="preserve"> (والعجيب أن ينتشر في الجمهورية الإسلامية كتاب يدعو إلى دين جديد ويتضمن مثل هذا المحتوى</w:t>
      </w:r>
      <w:r w:rsidRPr="006E28E9">
        <w:rPr>
          <w:rFonts w:hint="cs"/>
          <w:rtl/>
        </w:rPr>
        <w:t>،</w:t>
      </w:r>
      <w:r w:rsidRPr="006E28E9">
        <w:rPr>
          <w:rStyle w:val="FootnoteReference"/>
          <w:rFonts w:hint="cs"/>
          <w:vertAlign w:val="baseline"/>
          <w:rtl/>
        </w:rPr>
        <w:t xml:space="preserve"> و</w:t>
      </w:r>
      <w:r w:rsidRPr="006E28E9">
        <w:rPr>
          <w:rFonts w:hint="cs"/>
          <w:rtl/>
          <w:lang w:bidi="ar-SY"/>
        </w:rPr>
        <w:t xml:space="preserve">مع ذلك </w:t>
      </w:r>
      <w:r w:rsidRPr="006E28E9">
        <w:rPr>
          <w:rStyle w:val="FootnoteReference"/>
          <w:rFonts w:hint="cs"/>
          <w:vertAlign w:val="baseline"/>
          <w:rtl/>
        </w:rPr>
        <w:t xml:space="preserve">ينال الموافقة على نشره). والشرح الذي قدّمه إحسان طبري في تعريف </w:t>
      </w:r>
      <w:r w:rsidRPr="006E28E9">
        <w:rPr>
          <w:rFonts w:hint="cs"/>
          <w:rtl/>
          <w:lang w:bidi="ar-SY"/>
        </w:rPr>
        <w:t>«</w:t>
      </w:r>
      <w:r w:rsidRPr="006E28E9">
        <w:rPr>
          <w:rStyle w:val="FootnoteReference"/>
          <w:rFonts w:hint="cs"/>
          <w:vertAlign w:val="baseline"/>
          <w:rtl/>
        </w:rPr>
        <w:t>الدين الطاهر</w:t>
      </w:r>
      <w:r w:rsidRPr="006E28E9">
        <w:rPr>
          <w:rFonts w:hint="cs"/>
          <w:rtl/>
          <w:lang w:bidi="ar-SY"/>
        </w:rPr>
        <w:t>»</w:t>
      </w:r>
      <w:r w:rsidRPr="006E28E9">
        <w:rPr>
          <w:rStyle w:val="FootnoteReference"/>
          <w:rFonts w:hint="cs"/>
          <w:vertAlign w:val="baseline"/>
          <w:rtl/>
        </w:rPr>
        <w:t xml:space="preserve"> من وجهة نظر كسروي شرح يستحق الاهتمام والالتفات إليه؛ انظروا: </w:t>
      </w:r>
      <w:r w:rsidRPr="008C7124">
        <w:rPr>
          <w:rStyle w:val="Char9"/>
          <w:rFonts w:hint="cs"/>
          <w:sz w:val="20"/>
          <w:szCs w:val="20"/>
          <w:rtl/>
        </w:rPr>
        <w:t>ا</w:t>
      </w:r>
      <w:r>
        <w:rPr>
          <w:rStyle w:val="Char9"/>
          <w:rFonts w:hint="cs"/>
          <w:sz w:val="20"/>
          <w:szCs w:val="20"/>
          <w:rtl/>
        </w:rPr>
        <w:t>ی</w:t>
      </w:r>
      <w:r w:rsidRPr="008C7124">
        <w:rPr>
          <w:rStyle w:val="Char9"/>
          <w:rFonts w:hint="cs"/>
          <w:sz w:val="20"/>
          <w:szCs w:val="20"/>
          <w:rtl/>
        </w:rPr>
        <w:t>ران در دو سده واپس</w:t>
      </w:r>
      <w:r>
        <w:rPr>
          <w:rStyle w:val="Char9"/>
          <w:rFonts w:hint="cs"/>
          <w:sz w:val="20"/>
          <w:szCs w:val="20"/>
          <w:rtl/>
        </w:rPr>
        <w:t>ی</w:t>
      </w:r>
      <w:r w:rsidRPr="008C7124">
        <w:rPr>
          <w:rStyle w:val="Char9"/>
          <w:rFonts w:hint="cs"/>
          <w:sz w:val="20"/>
          <w:szCs w:val="20"/>
          <w:rtl/>
        </w:rPr>
        <w:t>ن</w:t>
      </w:r>
      <w:r w:rsidRPr="006E28E9">
        <w:rPr>
          <w:rStyle w:val="FootnoteReference"/>
          <w:rFonts w:hint="cs"/>
          <w:vertAlign w:val="baseline"/>
          <w:rtl/>
        </w:rPr>
        <w:t xml:space="preserve"> (إيران في القرنين الماضيين)، ص 263.</w:t>
      </w:r>
    </w:p>
  </w:footnote>
  <w:footnote w:id="24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 xml:space="preserve">العقلانية أو المذهب العقلاني </w:t>
      </w:r>
      <w:r w:rsidRPr="006E28E9">
        <w:t>Rationalism</w:t>
      </w:r>
      <w:r w:rsidRPr="006E28E9">
        <w:rPr>
          <w:rtl/>
        </w:rPr>
        <w:t xml:space="preserve"> مذهب فكري فلسفي يزعم أن الاستدلال العقلي هو الطريق الوحيد للوصول إلى معرفة طبيعة الكون والوجود، وأن العقل لا الوحي هو المرجع الوحيد في تفسير كل شيء، وأنه لا مجال للإيمان بالمعجزات أو خوارق العادات، كما أن العقائد الدينية ينبغي أن تختبر بمعيار عقلي.</w:t>
      </w:r>
      <w:r w:rsidRPr="006E28E9">
        <w:rPr>
          <w:rFonts w:hint="cs"/>
          <w:rtl/>
        </w:rPr>
        <w:t xml:space="preserve"> (المُتَرْجِمُ)</w:t>
      </w:r>
    </w:p>
  </w:footnote>
  <w:footnote w:id="24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بعد مقتل كسروي في شهر اسفند سنة 1324 هـ.ش</w:t>
      </w:r>
      <w:r w:rsidRPr="006E28E9">
        <w:rPr>
          <w:rFonts w:hint="cs"/>
          <w:rtl/>
        </w:rPr>
        <w:t xml:space="preserve"> </w:t>
      </w:r>
      <w:r w:rsidRPr="006E28E9">
        <w:rPr>
          <w:rFonts w:hint="cs"/>
          <w:rtl/>
        </w:rPr>
        <w:t>[1365هـ.ق/ 1946م]</w:t>
      </w:r>
      <w:r w:rsidRPr="006E28E9">
        <w:rPr>
          <w:rStyle w:val="FootnoteReference"/>
          <w:rFonts w:hint="cs"/>
          <w:vertAlign w:val="baseline"/>
          <w:rtl/>
        </w:rPr>
        <w:t>، كان الذين واصلوا طريقه عدد</w:t>
      </w:r>
      <w:r w:rsidRPr="006E28E9">
        <w:rPr>
          <w:rFonts w:hint="cs"/>
          <w:rtl/>
        </w:rPr>
        <w:t>اً</w:t>
      </w:r>
      <w:r w:rsidRPr="006E28E9">
        <w:rPr>
          <w:rStyle w:val="FootnoteReference"/>
          <w:rFonts w:hint="cs"/>
          <w:vertAlign w:val="baseline"/>
          <w:rtl/>
        </w:rPr>
        <w:t xml:space="preserve"> قليل</w:t>
      </w:r>
      <w:r w:rsidRPr="006E28E9">
        <w:rPr>
          <w:rFonts w:hint="cs"/>
          <w:rtl/>
        </w:rPr>
        <w:t>اً</w:t>
      </w:r>
      <w:r w:rsidRPr="006E28E9">
        <w:rPr>
          <w:rStyle w:val="FootnoteReference"/>
          <w:rFonts w:hint="cs"/>
          <w:vertAlign w:val="baseline"/>
          <w:rtl/>
        </w:rPr>
        <w:t xml:space="preserve"> من الأفراد؛ لأنه كان صاحب م</w:t>
      </w:r>
      <w:r w:rsidRPr="006E28E9">
        <w:rPr>
          <w:rFonts w:hint="cs"/>
          <w:rtl/>
        </w:rPr>
        <w:t>زاج</w:t>
      </w:r>
      <w:r w:rsidRPr="006E28E9">
        <w:rPr>
          <w:rStyle w:val="FootnoteReference"/>
          <w:rFonts w:hint="cs"/>
          <w:vertAlign w:val="baseline"/>
          <w:rtl/>
        </w:rPr>
        <w:t xml:space="preserve"> خاص ي</w:t>
      </w:r>
      <w:r w:rsidRPr="006E28E9">
        <w:rPr>
          <w:rFonts w:hint="cs"/>
          <w:rtl/>
        </w:rPr>
        <w:t>هاجم معه</w:t>
      </w:r>
      <w:r w:rsidRPr="006E28E9">
        <w:rPr>
          <w:rStyle w:val="FootnoteReference"/>
          <w:rFonts w:hint="cs"/>
          <w:vertAlign w:val="baseline"/>
          <w:rtl/>
        </w:rPr>
        <w:t xml:space="preserve"> كل شيء. ورغم ذلك، كان هناك أشخاص يدافعون عنه. وعندما قام أحد أتباع حزب توده ويُدعى «كارشاد» سنة 1324 هـ.ش بتأليف ونشر</w:t>
      </w:r>
      <w:r w:rsidRPr="006E28E9">
        <w:rPr>
          <w:rFonts w:hint="cs"/>
          <w:rtl/>
        </w:rPr>
        <w:t xml:space="preserve"> </w:t>
      </w:r>
      <w:r w:rsidRPr="006E28E9">
        <w:rPr>
          <w:rStyle w:val="FootnoteReference"/>
          <w:rFonts w:hint="cs"/>
          <w:vertAlign w:val="baseline"/>
          <w:rtl/>
        </w:rPr>
        <w:t>كتاب بعنوان «</w:t>
      </w:r>
      <w:r w:rsidRPr="008C7124">
        <w:rPr>
          <w:rStyle w:val="Char9"/>
          <w:rFonts w:hint="cs"/>
          <w:sz w:val="20"/>
          <w:szCs w:val="20"/>
          <w:rtl/>
        </w:rPr>
        <w:t xml:space="preserve">آقاى </w:t>
      </w:r>
      <w:r>
        <w:rPr>
          <w:rStyle w:val="Char9"/>
          <w:rFonts w:hint="cs"/>
          <w:sz w:val="20"/>
          <w:szCs w:val="20"/>
          <w:rtl/>
        </w:rPr>
        <w:t>ک</w:t>
      </w:r>
      <w:r w:rsidRPr="008C7124">
        <w:rPr>
          <w:rStyle w:val="Char9"/>
          <w:rFonts w:hint="cs"/>
          <w:sz w:val="20"/>
          <w:szCs w:val="20"/>
          <w:rtl/>
        </w:rPr>
        <w:t>سروى و مفهوم ماتر</w:t>
      </w:r>
      <w:r>
        <w:rPr>
          <w:rStyle w:val="Char9"/>
          <w:rFonts w:hint="cs"/>
          <w:sz w:val="20"/>
          <w:szCs w:val="20"/>
          <w:rtl/>
        </w:rPr>
        <w:t>ی</w:t>
      </w:r>
      <w:r w:rsidRPr="008C7124">
        <w:rPr>
          <w:rStyle w:val="Char9"/>
          <w:rFonts w:hint="cs"/>
          <w:sz w:val="20"/>
          <w:szCs w:val="20"/>
          <w:rtl/>
        </w:rPr>
        <w:t>ال</w:t>
      </w:r>
      <w:r>
        <w:rPr>
          <w:rStyle w:val="Char9"/>
          <w:rFonts w:hint="cs"/>
          <w:sz w:val="20"/>
          <w:szCs w:val="20"/>
          <w:rtl/>
        </w:rPr>
        <w:t>ی</w:t>
      </w:r>
      <w:r w:rsidRPr="008C7124">
        <w:rPr>
          <w:rStyle w:val="Char9"/>
          <w:rFonts w:hint="cs"/>
          <w:sz w:val="20"/>
          <w:szCs w:val="20"/>
          <w:rtl/>
        </w:rPr>
        <w:t>سم</w:t>
      </w:r>
      <w:r w:rsidRPr="006E28E9">
        <w:rPr>
          <w:rStyle w:val="FootnoteReference"/>
          <w:rFonts w:hint="cs"/>
          <w:vertAlign w:val="baseline"/>
          <w:rtl/>
        </w:rPr>
        <w:t>» [السيد كسروي ومفهوم المذهب المادي] (دار النشر چمن آرا، طهران، 1324 هـ.ش)، قام أحد أتباع كسروي بالرد عليه في كتاب نشره سنة 1327 هـ.ش</w:t>
      </w:r>
      <w:r w:rsidRPr="006E28E9">
        <w:rPr>
          <w:rFonts w:hint="cs"/>
          <w:rtl/>
        </w:rPr>
        <w:t xml:space="preserve"> [1367هـ.ق/ 1948م]</w:t>
      </w:r>
      <w:r w:rsidRPr="006E28E9">
        <w:rPr>
          <w:rStyle w:val="FootnoteReference"/>
          <w:rFonts w:hint="cs"/>
          <w:vertAlign w:val="baseline"/>
          <w:rtl/>
        </w:rPr>
        <w:t xml:space="preserve"> يحمل عنوان «</w:t>
      </w:r>
      <w:r w:rsidRPr="008C7124">
        <w:rPr>
          <w:rStyle w:val="Char9"/>
          <w:rFonts w:hint="cs"/>
          <w:sz w:val="20"/>
          <w:szCs w:val="20"/>
          <w:rtl/>
        </w:rPr>
        <w:t>م</w:t>
      </w:r>
      <w:r>
        <w:rPr>
          <w:rStyle w:val="Char9"/>
          <w:rFonts w:hint="cs"/>
          <w:sz w:val="20"/>
          <w:szCs w:val="20"/>
          <w:rtl/>
        </w:rPr>
        <w:t>ک</w:t>
      </w:r>
      <w:r w:rsidRPr="008C7124">
        <w:rPr>
          <w:rStyle w:val="Char9"/>
          <w:rFonts w:hint="cs"/>
          <w:sz w:val="20"/>
          <w:szCs w:val="20"/>
          <w:rtl/>
        </w:rPr>
        <w:t xml:space="preserve">تب </w:t>
      </w:r>
      <w:r>
        <w:rPr>
          <w:rStyle w:val="Char9"/>
          <w:rFonts w:hint="cs"/>
          <w:sz w:val="20"/>
          <w:szCs w:val="20"/>
          <w:rtl/>
        </w:rPr>
        <w:t>ک</w:t>
      </w:r>
      <w:r w:rsidRPr="008C7124">
        <w:rPr>
          <w:rStyle w:val="Char9"/>
          <w:rFonts w:hint="cs"/>
          <w:sz w:val="20"/>
          <w:szCs w:val="20"/>
          <w:rtl/>
        </w:rPr>
        <w:t>سروى و ماتر</w:t>
      </w:r>
      <w:r>
        <w:rPr>
          <w:rStyle w:val="Char9"/>
          <w:rFonts w:hint="cs"/>
          <w:sz w:val="20"/>
          <w:szCs w:val="20"/>
          <w:rtl/>
        </w:rPr>
        <w:t>ی</w:t>
      </w:r>
      <w:r w:rsidRPr="008C7124">
        <w:rPr>
          <w:rStyle w:val="Char9"/>
          <w:rFonts w:hint="cs"/>
          <w:sz w:val="20"/>
          <w:szCs w:val="20"/>
          <w:rtl/>
        </w:rPr>
        <w:t>ال</w:t>
      </w:r>
      <w:r>
        <w:rPr>
          <w:rStyle w:val="Char9"/>
          <w:rFonts w:hint="cs"/>
          <w:sz w:val="20"/>
          <w:szCs w:val="20"/>
          <w:rtl/>
        </w:rPr>
        <w:t>ی</w:t>
      </w:r>
      <w:r w:rsidRPr="008C7124">
        <w:rPr>
          <w:rStyle w:val="Char9"/>
          <w:rFonts w:hint="cs"/>
          <w:sz w:val="20"/>
          <w:szCs w:val="20"/>
          <w:rtl/>
        </w:rPr>
        <w:t>سم</w:t>
      </w:r>
      <w:r w:rsidRPr="006E28E9">
        <w:rPr>
          <w:rStyle w:val="FootnoteReference"/>
          <w:rFonts w:hint="cs"/>
          <w:vertAlign w:val="baseline"/>
          <w:rtl/>
        </w:rPr>
        <w:t>»، (مدرسة كسروى والمذهب المادي).</w:t>
      </w:r>
    </w:p>
  </w:footnote>
  <w:footnote w:id="24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كسروي على صلة بمجموعة من الق</w:t>
      </w:r>
      <w:r w:rsidRPr="006E28E9">
        <w:rPr>
          <w:rFonts w:hint="cs"/>
          <w:rtl/>
        </w:rPr>
        <w:t>ِ</w:t>
      </w:r>
      <w:r w:rsidRPr="006E28E9">
        <w:rPr>
          <w:rStyle w:val="FootnoteReference"/>
          <w:rFonts w:hint="cs"/>
          <w:vertAlign w:val="baseline"/>
          <w:rtl/>
        </w:rPr>
        <w:t>و</w:t>
      </w:r>
      <w:r w:rsidRPr="006E28E9">
        <w:rPr>
          <w:rFonts w:hint="cs"/>
          <w:rtl/>
        </w:rPr>
        <w:t>َ</w:t>
      </w:r>
      <w:r w:rsidRPr="006E28E9">
        <w:rPr>
          <w:rStyle w:val="FootnoteReference"/>
          <w:rFonts w:hint="cs"/>
          <w:vertAlign w:val="baseline"/>
          <w:rtl/>
        </w:rPr>
        <w:t>ى الدينية وب</w:t>
      </w:r>
      <w:r w:rsidRPr="006E28E9">
        <w:rPr>
          <w:rFonts w:hint="cs"/>
          <w:rtl/>
        </w:rPr>
        <w:t>عض علماء الدين</w:t>
      </w:r>
      <w:r w:rsidRPr="006E28E9">
        <w:rPr>
          <w:rStyle w:val="FootnoteReference"/>
          <w:rFonts w:hint="cs"/>
          <w:vertAlign w:val="baseline"/>
          <w:rtl/>
        </w:rPr>
        <w:t>، حتى أنه كان يوزع عليهم مجلته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مان</w:t>
      </w:r>
      <w:r w:rsidRPr="006E28E9">
        <w:rPr>
          <w:rStyle w:val="FootnoteReference"/>
          <w:rFonts w:hint="cs"/>
          <w:vertAlign w:val="baseline"/>
          <w:rtl/>
        </w:rPr>
        <w:t>». ومن جملة هؤلاء حكمي زاده. كما كان السيد بُدَلا أيضًا رفيقاً لكسروي، وكان كسروي يرسل إليه مجلته «</w:t>
      </w:r>
      <w:r w:rsidRPr="008C7124">
        <w:rPr>
          <w:rStyle w:val="Char9"/>
          <w:rFonts w:hint="cs"/>
          <w:sz w:val="20"/>
          <w:szCs w:val="20"/>
          <w:rtl/>
        </w:rPr>
        <w:t>پ</w:t>
      </w:r>
      <w:r>
        <w:rPr>
          <w:rStyle w:val="Char9"/>
          <w:rFonts w:hint="cs"/>
          <w:sz w:val="20"/>
          <w:szCs w:val="20"/>
          <w:rtl/>
        </w:rPr>
        <w:t>ی</w:t>
      </w:r>
      <w:r w:rsidRPr="008C7124">
        <w:rPr>
          <w:rStyle w:val="Char9"/>
          <w:rFonts w:hint="cs"/>
          <w:sz w:val="20"/>
          <w:szCs w:val="20"/>
          <w:rtl/>
        </w:rPr>
        <w:t>مان</w:t>
      </w:r>
      <w:r w:rsidRPr="006E28E9">
        <w:rPr>
          <w:rStyle w:val="FootnoteReference"/>
          <w:rFonts w:hint="cs"/>
          <w:vertAlign w:val="baseline"/>
          <w:rtl/>
        </w:rPr>
        <w:t>» (</w:t>
      </w:r>
      <w:r w:rsidRPr="006E28E9">
        <w:rPr>
          <w:rStyle w:val="FootnoteReference"/>
          <w:rFonts w:hint="cs"/>
          <w:b/>
          <w:bCs/>
          <w:vertAlign w:val="baseline"/>
          <w:rtl/>
        </w:rPr>
        <w:t>سبعون عاماً</w:t>
      </w:r>
      <w:r w:rsidRPr="006E28E9">
        <w:rPr>
          <w:rStyle w:val="FootnoteReference"/>
          <w:rFonts w:hint="cs"/>
          <w:vertAlign w:val="baseline"/>
          <w:rtl/>
        </w:rPr>
        <w:t>، ص 211). وكان كسروي على صلة في الكاظمين وفي طهران بالحاج سراج الأنصاري وبالسيد غلام رضا سعيدي أيضًا، لكنهما قطعا صلتهما به فيما بعد.</w:t>
      </w:r>
    </w:p>
  </w:footnote>
  <w:footnote w:id="249">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أي </w:t>
      </w:r>
      <w:r w:rsidRPr="006E28E9">
        <w:rPr>
          <w:rFonts w:hint="cs"/>
          <w:rtl/>
          <w:lang w:bidi="ar-SY"/>
        </w:rPr>
        <w:t>أربعينيات القرن الرابع عشر الهجري الشمسي الحالي حسب التقويم الإيراني، ويوافق ستينيات القرن العشرين الميلادي. (المُتَرْجِمُ)</w:t>
      </w:r>
    </w:p>
  </w:footnote>
  <w:footnote w:id="25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اسم جهاز الاستخبارات وأمن الدولة في إيران في عهد الشاه محمد رضا پهلوي. (المُتَرْجِمُ)</w:t>
      </w:r>
    </w:p>
  </w:footnote>
  <w:footnote w:id="25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سانسور در آئ</w:t>
      </w:r>
      <w:r>
        <w:rPr>
          <w:rStyle w:val="Char9"/>
          <w:rFonts w:hint="cs"/>
          <w:sz w:val="20"/>
          <w:szCs w:val="20"/>
          <w:rtl/>
        </w:rPr>
        <w:t>ی</w:t>
      </w:r>
      <w:r w:rsidRPr="008C7124">
        <w:rPr>
          <w:rStyle w:val="Char9"/>
          <w:rFonts w:hint="cs"/>
          <w:sz w:val="20"/>
          <w:szCs w:val="20"/>
          <w:rtl/>
        </w:rPr>
        <w:t>نه</w:t>
      </w:r>
      <w:r w:rsidRPr="006E28E9">
        <w:rPr>
          <w:rStyle w:val="FootnoteReference"/>
          <w:rFonts w:hint="cs"/>
          <w:vertAlign w:val="baseline"/>
          <w:rtl/>
        </w:rPr>
        <w:t xml:space="preserve"> [الرقابة على المطبوعات في المرآة]، ص 758.</w:t>
      </w:r>
    </w:p>
  </w:footnote>
  <w:footnote w:id="25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سانسور در آئ</w:t>
      </w:r>
      <w:r>
        <w:rPr>
          <w:rStyle w:val="Char9"/>
          <w:rFonts w:hint="cs"/>
          <w:sz w:val="20"/>
          <w:szCs w:val="20"/>
          <w:rtl/>
        </w:rPr>
        <w:t>ی</w:t>
      </w:r>
      <w:r w:rsidRPr="008C7124">
        <w:rPr>
          <w:rStyle w:val="Char9"/>
          <w:rFonts w:hint="cs"/>
          <w:sz w:val="20"/>
          <w:szCs w:val="20"/>
          <w:rtl/>
        </w:rPr>
        <w:t>نه</w:t>
      </w:r>
      <w:r w:rsidRPr="006E28E9">
        <w:rPr>
          <w:rStyle w:val="FootnoteReference"/>
          <w:rFonts w:hint="cs"/>
          <w:vertAlign w:val="baseline"/>
          <w:rtl/>
        </w:rPr>
        <w:t xml:space="preserve"> [الرقابة على المطبوعات في المرآة]، صص 712 - 713.</w:t>
      </w:r>
    </w:p>
  </w:footnote>
  <w:footnote w:id="25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تار</w:t>
      </w:r>
      <w:r>
        <w:rPr>
          <w:rStyle w:val="Char9"/>
          <w:rFonts w:hint="cs"/>
          <w:sz w:val="20"/>
          <w:szCs w:val="20"/>
          <w:rtl/>
        </w:rPr>
        <w:t>ی</w:t>
      </w:r>
      <w:r w:rsidRPr="008C7124">
        <w:rPr>
          <w:rStyle w:val="Char9"/>
          <w:rFonts w:hint="cs"/>
          <w:sz w:val="20"/>
          <w:szCs w:val="20"/>
          <w:rtl/>
        </w:rPr>
        <w:t>خ جرا</w:t>
      </w:r>
      <w:r>
        <w:rPr>
          <w:rStyle w:val="Char9"/>
          <w:rFonts w:hint="cs"/>
          <w:sz w:val="20"/>
          <w:szCs w:val="20"/>
          <w:rtl/>
        </w:rPr>
        <w:t>ی</w:t>
      </w:r>
      <w:r w:rsidRPr="008C7124">
        <w:rPr>
          <w:rStyle w:val="Char9"/>
          <w:rFonts w:hint="cs"/>
          <w:sz w:val="20"/>
          <w:szCs w:val="20"/>
          <w:rtl/>
        </w:rPr>
        <w:t>د و مجلات ا</w:t>
      </w:r>
      <w:r>
        <w:rPr>
          <w:rStyle w:val="Char9"/>
          <w:rFonts w:hint="cs"/>
          <w:sz w:val="20"/>
          <w:szCs w:val="20"/>
          <w:rtl/>
        </w:rPr>
        <w:t>ی</w:t>
      </w:r>
      <w:r w:rsidRPr="008C7124">
        <w:rPr>
          <w:rStyle w:val="Char9"/>
          <w:rFonts w:hint="cs"/>
          <w:sz w:val="20"/>
          <w:szCs w:val="20"/>
          <w:rtl/>
        </w:rPr>
        <w:t>ران</w:t>
      </w:r>
      <w:r w:rsidRPr="006E28E9">
        <w:rPr>
          <w:rStyle w:val="FootnoteReference"/>
          <w:rFonts w:hint="cs"/>
          <w:vertAlign w:val="baseline"/>
          <w:rtl/>
        </w:rPr>
        <w:t>، ج 4، ص 338 - 339؛ وقد أ</w:t>
      </w:r>
      <w:r w:rsidRPr="006E28E9">
        <w:rPr>
          <w:rFonts w:hint="cs"/>
          <w:rtl/>
        </w:rPr>
        <w:t>عطى</w:t>
      </w:r>
      <w:r w:rsidRPr="006E28E9">
        <w:rPr>
          <w:rStyle w:val="FootnoteReference"/>
          <w:rFonts w:hint="cs"/>
          <w:vertAlign w:val="baseline"/>
          <w:rtl/>
        </w:rPr>
        <w:t xml:space="preserve"> السيد بُدَلا - الذي كان هو نفسه عضواً في هيئة تحرير تلك المجلة - </w:t>
      </w:r>
      <w:r w:rsidRPr="006E28E9">
        <w:rPr>
          <w:rFonts w:hint="cs"/>
          <w:rtl/>
        </w:rPr>
        <w:t xml:space="preserve">توضيحات </w:t>
      </w:r>
      <w:r w:rsidRPr="006E28E9">
        <w:rPr>
          <w:rStyle w:val="FootnoteReference"/>
          <w:rFonts w:hint="cs"/>
          <w:vertAlign w:val="baseline"/>
          <w:rtl/>
        </w:rPr>
        <w:t xml:space="preserve">عنها كما عرّف بشكل مفصّل بالسيد «همايون پور». وقد قال في ذلك المقال أن </w:t>
      </w:r>
      <w:r w:rsidRPr="006E28E9">
        <w:rPr>
          <w:rFonts w:hint="cs"/>
          <w:rtl/>
          <w:lang w:bidi="ar-SY"/>
        </w:rPr>
        <w:t>«</w:t>
      </w:r>
      <w:r w:rsidRPr="006E28E9">
        <w:rPr>
          <w:rStyle w:val="FootnoteReference"/>
          <w:rFonts w:hint="cs"/>
          <w:vertAlign w:val="baseline"/>
          <w:rtl/>
        </w:rPr>
        <w:t>حكمي زاد</w:t>
      </w:r>
      <w:r w:rsidRPr="006E28E9">
        <w:rPr>
          <w:rStyle w:val="FootnoteReference"/>
          <w:rFonts w:hint="cs"/>
          <w:vertAlign w:val="baseline"/>
          <w:rtl/>
          <w:lang w:bidi="ar-SY"/>
        </w:rPr>
        <w:t>ه»</w:t>
      </w:r>
      <w:r w:rsidRPr="006E28E9">
        <w:rPr>
          <w:rStyle w:val="FootnoteReference"/>
          <w:rFonts w:hint="cs"/>
          <w:vertAlign w:val="baseline"/>
          <w:rtl/>
        </w:rPr>
        <w:t xml:space="preserve"> ص</w:t>
      </w:r>
      <w:r w:rsidRPr="006E28E9">
        <w:rPr>
          <w:rFonts w:hint="cs"/>
          <w:rtl/>
        </w:rPr>
        <w:t>َ</w:t>
      </w:r>
      <w:r w:rsidRPr="006E28E9">
        <w:rPr>
          <w:rStyle w:val="FootnoteReference"/>
          <w:rFonts w:hint="cs"/>
          <w:vertAlign w:val="baseline"/>
          <w:rtl/>
        </w:rPr>
        <w:t>اد</w:t>
      </w:r>
      <w:r w:rsidRPr="006E28E9">
        <w:rPr>
          <w:rFonts w:hint="cs"/>
          <w:rtl/>
        </w:rPr>
        <w:t>َ</w:t>
      </w:r>
      <w:r w:rsidRPr="006E28E9">
        <w:rPr>
          <w:rStyle w:val="FootnoteReference"/>
          <w:rFonts w:hint="cs"/>
          <w:vertAlign w:val="baseline"/>
          <w:rtl/>
        </w:rPr>
        <w:t>ق</w:t>
      </w:r>
      <w:r w:rsidRPr="006E28E9">
        <w:rPr>
          <w:rFonts w:hint="cs"/>
          <w:rtl/>
        </w:rPr>
        <w:t>َ</w:t>
      </w:r>
      <w:r w:rsidRPr="006E28E9">
        <w:rPr>
          <w:rStyle w:val="FootnoteReference"/>
          <w:rFonts w:hint="cs"/>
          <w:vertAlign w:val="baseline"/>
          <w:rtl/>
        </w:rPr>
        <w:t xml:space="preserve"> </w:t>
      </w:r>
      <w:r w:rsidRPr="006E28E9">
        <w:rPr>
          <w:rFonts w:hint="cs"/>
          <w:rtl/>
          <w:lang w:bidi="ar-SY"/>
        </w:rPr>
        <w:t>«</w:t>
      </w:r>
      <w:r w:rsidRPr="006E28E9">
        <w:rPr>
          <w:rStyle w:val="FootnoteReference"/>
          <w:rFonts w:hint="cs"/>
          <w:vertAlign w:val="baseline"/>
          <w:rtl/>
        </w:rPr>
        <w:t>كسروي</w:t>
      </w:r>
      <w:r w:rsidRPr="006E28E9">
        <w:rPr>
          <w:rFonts w:hint="cs"/>
          <w:rtl/>
          <w:lang w:bidi="ar-SY"/>
        </w:rPr>
        <w:t>»</w:t>
      </w:r>
      <w:r w:rsidRPr="006E28E9">
        <w:rPr>
          <w:rStyle w:val="FootnoteReference"/>
          <w:rFonts w:hint="cs"/>
          <w:vertAlign w:val="baseline"/>
          <w:rtl/>
        </w:rPr>
        <w:t xml:space="preserve"> في طهران، وأنه حتى ع</w:t>
      </w:r>
      <w:r w:rsidRPr="006E28E9">
        <w:rPr>
          <w:rFonts w:hint="cs"/>
          <w:rtl/>
        </w:rPr>
        <w:t>ندما كان «حكمي زاده»</w:t>
      </w:r>
      <w:r w:rsidRPr="006E28E9">
        <w:rPr>
          <w:rStyle w:val="FootnoteReference"/>
          <w:rFonts w:hint="cs"/>
          <w:vertAlign w:val="baseline"/>
          <w:rtl/>
        </w:rPr>
        <w:t xml:space="preserve"> </w:t>
      </w:r>
      <w:r w:rsidRPr="006E28E9">
        <w:rPr>
          <w:rFonts w:hint="cs"/>
          <w:rtl/>
        </w:rPr>
        <w:t xml:space="preserve">لا يزال </w:t>
      </w:r>
      <w:r w:rsidRPr="006E28E9">
        <w:rPr>
          <w:rStyle w:val="FootnoteReference"/>
          <w:rFonts w:hint="cs"/>
          <w:vertAlign w:val="baseline"/>
          <w:rtl/>
        </w:rPr>
        <w:t>طالب</w:t>
      </w:r>
      <w:r w:rsidRPr="006E28E9">
        <w:rPr>
          <w:rFonts w:hint="cs"/>
          <w:rtl/>
        </w:rPr>
        <w:t>ً</w:t>
      </w:r>
      <w:r w:rsidRPr="006E28E9">
        <w:rPr>
          <w:rStyle w:val="FootnoteReference"/>
          <w:rFonts w:hint="cs"/>
          <w:vertAlign w:val="baseline"/>
          <w:rtl/>
        </w:rPr>
        <w:t xml:space="preserve">ا للعلوم الدينية يعيش في </w:t>
      </w:r>
      <w:r w:rsidRPr="006E28E9">
        <w:rPr>
          <w:rFonts w:hint="cs"/>
          <w:rtl/>
        </w:rPr>
        <w:t xml:space="preserve">حجرة في </w:t>
      </w:r>
      <w:r w:rsidRPr="006E28E9">
        <w:rPr>
          <w:rStyle w:val="FootnoteReference"/>
          <w:rFonts w:hint="cs"/>
          <w:vertAlign w:val="baseline"/>
          <w:rtl/>
        </w:rPr>
        <w:t>المدرسة الرضوية في قم</w:t>
      </w:r>
      <w:r w:rsidRPr="006E28E9">
        <w:rPr>
          <w:rFonts w:hint="cs"/>
          <w:rtl/>
        </w:rPr>
        <w:t>،</w:t>
      </w:r>
      <w:r w:rsidRPr="006E28E9">
        <w:rPr>
          <w:rStyle w:val="FootnoteReference"/>
          <w:rFonts w:hint="cs"/>
          <w:vertAlign w:val="baseline"/>
          <w:rtl/>
        </w:rPr>
        <w:t xml:space="preserve"> أ</w:t>
      </w:r>
      <w:r w:rsidRPr="006E28E9">
        <w:rPr>
          <w:rFonts w:hint="cs"/>
          <w:rtl/>
        </w:rPr>
        <w:t>تي</w:t>
      </w:r>
      <w:r w:rsidRPr="006E28E9">
        <w:rPr>
          <w:rStyle w:val="FootnoteReference"/>
          <w:rFonts w:hint="cs"/>
          <w:vertAlign w:val="baseline"/>
          <w:rtl/>
        </w:rPr>
        <w:t xml:space="preserve"> ب</w:t>
      </w:r>
      <w:r w:rsidRPr="006E28E9">
        <w:rPr>
          <w:rFonts w:hint="cs"/>
          <w:rtl/>
        </w:rPr>
        <w:t xml:space="preserve">صديقه </w:t>
      </w:r>
      <w:r w:rsidRPr="006E28E9">
        <w:rPr>
          <w:rStyle w:val="FootnoteReference"/>
          <w:rFonts w:hint="cs"/>
          <w:vertAlign w:val="baseline"/>
          <w:rtl/>
        </w:rPr>
        <w:t>كسروي من طهران إلى حجرته في قم</w:t>
      </w:r>
      <w:r w:rsidRPr="006E28E9">
        <w:rPr>
          <w:rFonts w:hint="cs"/>
          <w:rtl/>
        </w:rPr>
        <w:t>،</w:t>
      </w:r>
      <w:r w:rsidRPr="006E28E9">
        <w:rPr>
          <w:rStyle w:val="FootnoteReference"/>
          <w:rFonts w:hint="cs"/>
          <w:vertAlign w:val="baseline"/>
          <w:rtl/>
        </w:rPr>
        <w:t xml:space="preserve"> وكان السيد بُدَلا أيضًا في الحجرة ذاتها. </w:t>
      </w:r>
      <w:r w:rsidRPr="006E28E9">
        <w:rPr>
          <w:rFonts w:hint="cs"/>
          <w:rtl/>
        </w:rPr>
        <w:t xml:space="preserve">انظر: </w:t>
      </w:r>
      <w:r w:rsidRPr="006E28E9">
        <w:rPr>
          <w:rStyle w:val="FootnoteReference"/>
          <w:rFonts w:hint="cs"/>
          <w:b/>
          <w:bCs/>
          <w:vertAlign w:val="baseline"/>
          <w:rtl/>
        </w:rPr>
        <w:t>سبعون عاماً</w:t>
      </w:r>
      <w:r w:rsidRPr="006E28E9">
        <w:rPr>
          <w:rStyle w:val="FootnoteReference"/>
          <w:rFonts w:hint="cs"/>
          <w:vertAlign w:val="baseline"/>
          <w:rtl/>
        </w:rPr>
        <w:t>، ص 208 و 209.</w:t>
      </w:r>
    </w:p>
  </w:footnote>
  <w:footnote w:id="25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w:t>
      </w:r>
      <w:r w:rsidRPr="008C7124">
        <w:rPr>
          <w:rStyle w:val="Char9"/>
          <w:sz w:val="20"/>
          <w:szCs w:val="20"/>
          <w:rtl/>
        </w:rPr>
        <w:t>پ</w:t>
      </w:r>
      <w:r>
        <w:rPr>
          <w:rStyle w:val="Char9"/>
          <w:sz w:val="20"/>
          <w:szCs w:val="20"/>
          <w:rtl/>
        </w:rPr>
        <w:t>ی</w:t>
      </w:r>
      <w:r w:rsidRPr="008C7124">
        <w:rPr>
          <w:rStyle w:val="Char9"/>
          <w:sz w:val="20"/>
          <w:szCs w:val="20"/>
          <w:rtl/>
        </w:rPr>
        <w:t>مان</w:t>
      </w:r>
      <w:r w:rsidRPr="006E28E9">
        <w:rPr>
          <w:rStyle w:val="FootnoteReference"/>
          <w:rFonts w:hint="cs"/>
          <w:vertAlign w:val="baseline"/>
          <w:rtl/>
        </w:rPr>
        <w:t xml:space="preserve"> السنة الثانية، العدد 1، ص 67، </w:t>
      </w:r>
      <w:r w:rsidRPr="006E28E9">
        <w:rPr>
          <w:rFonts w:hint="cs"/>
          <w:rtl/>
        </w:rPr>
        <w:t xml:space="preserve">وقد </w:t>
      </w:r>
      <w:r w:rsidRPr="006E28E9">
        <w:rPr>
          <w:rStyle w:val="FootnoteReference"/>
          <w:rFonts w:hint="cs"/>
          <w:vertAlign w:val="baseline"/>
          <w:rtl/>
        </w:rPr>
        <w:t>ت</w:t>
      </w:r>
      <w:r w:rsidRPr="006E28E9">
        <w:rPr>
          <w:rFonts w:hint="cs"/>
          <w:rtl/>
        </w:rPr>
        <w:t>ضمَّنت</w:t>
      </w:r>
      <w:r w:rsidRPr="006E28E9">
        <w:rPr>
          <w:rStyle w:val="FootnoteReference"/>
          <w:rFonts w:hint="cs"/>
          <w:vertAlign w:val="baseline"/>
          <w:rtl/>
        </w:rPr>
        <w:t xml:space="preserve"> التوضيح الذي كتبه كسروي حول مجلة </w:t>
      </w:r>
      <w:r w:rsidRPr="008C7124">
        <w:rPr>
          <w:rStyle w:val="Char9"/>
          <w:rFonts w:hint="cs"/>
          <w:sz w:val="20"/>
          <w:szCs w:val="20"/>
          <w:rtl/>
        </w:rPr>
        <w:t>هما</w:t>
      </w:r>
      <w:r>
        <w:rPr>
          <w:rStyle w:val="Char9"/>
          <w:rFonts w:hint="cs"/>
          <w:sz w:val="20"/>
          <w:szCs w:val="20"/>
          <w:rtl/>
        </w:rPr>
        <w:t>ی</w:t>
      </w:r>
      <w:r w:rsidRPr="008C7124">
        <w:rPr>
          <w:rStyle w:val="Char9"/>
          <w:rFonts w:hint="cs"/>
          <w:sz w:val="20"/>
          <w:szCs w:val="20"/>
          <w:rtl/>
        </w:rPr>
        <w:t>ون</w:t>
      </w:r>
      <w:r w:rsidRPr="006E28E9">
        <w:rPr>
          <w:rStyle w:val="FootnoteReference"/>
          <w:rFonts w:hint="cs"/>
          <w:vertAlign w:val="baseline"/>
          <w:rtl/>
        </w:rPr>
        <w:t xml:space="preserve"> الشهرية ولاسيما ثناؤه البالغ على ما كتبه البرقعي فيها عن الشعر. </w:t>
      </w:r>
    </w:p>
  </w:footnote>
  <w:footnote w:id="25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هما</w:t>
      </w:r>
      <w:r>
        <w:rPr>
          <w:rStyle w:val="Char9"/>
          <w:rFonts w:hint="cs"/>
          <w:sz w:val="20"/>
          <w:szCs w:val="20"/>
          <w:rtl/>
        </w:rPr>
        <w:t>ی</w:t>
      </w:r>
      <w:r w:rsidRPr="008C7124">
        <w:rPr>
          <w:rStyle w:val="Char9"/>
          <w:rFonts w:hint="cs"/>
          <w:sz w:val="20"/>
          <w:szCs w:val="20"/>
          <w:rtl/>
        </w:rPr>
        <w:t>ون</w:t>
      </w:r>
      <w:r w:rsidRPr="006E28E9">
        <w:rPr>
          <w:rStyle w:val="FootnoteReference"/>
          <w:rFonts w:hint="cs"/>
          <w:vertAlign w:val="baseline"/>
          <w:rtl/>
        </w:rPr>
        <w:t>، السنة 1، العدد 8، ارديبهشت 1314 هـ.ش [</w:t>
      </w:r>
      <w:r w:rsidRPr="006E28E9">
        <w:rPr>
          <w:rFonts w:hint="cs"/>
          <w:rtl/>
        </w:rPr>
        <w:t>1354هـ.ق/ 1935م]</w:t>
      </w:r>
      <w:r w:rsidRPr="006E28E9">
        <w:rPr>
          <w:rStyle w:val="FootnoteReference"/>
          <w:rFonts w:hint="cs"/>
          <w:vertAlign w:val="baseline"/>
          <w:rtl/>
        </w:rPr>
        <w:t>، صص 22 - 30.</w:t>
      </w:r>
      <w:r w:rsidRPr="006E28E9">
        <w:rPr>
          <w:rStyle w:val="FootnoteReference"/>
          <w:vertAlign w:val="baseline"/>
          <w:rtl/>
        </w:rPr>
        <w:t xml:space="preserve"> </w:t>
      </w:r>
    </w:p>
  </w:footnote>
  <w:footnote w:id="25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 xml:space="preserve">قتل </w:t>
      </w:r>
      <w:r>
        <w:rPr>
          <w:rStyle w:val="Char9"/>
          <w:rFonts w:hint="cs"/>
          <w:sz w:val="20"/>
          <w:szCs w:val="20"/>
          <w:rtl/>
        </w:rPr>
        <w:t>ک</w:t>
      </w:r>
      <w:r w:rsidRPr="008C7124">
        <w:rPr>
          <w:rStyle w:val="Char9"/>
          <w:rFonts w:hint="cs"/>
          <w:sz w:val="20"/>
          <w:szCs w:val="20"/>
          <w:rtl/>
        </w:rPr>
        <w:t>سرو</w:t>
      </w:r>
      <w:r>
        <w:rPr>
          <w:rStyle w:val="Char9"/>
          <w:rFonts w:hint="cs"/>
          <w:sz w:val="20"/>
          <w:szCs w:val="20"/>
          <w:rtl/>
        </w:rPr>
        <w:t>ی</w:t>
      </w:r>
      <w:r w:rsidRPr="006E28E9">
        <w:rPr>
          <w:rStyle w:val="FootnoteReference"/>
          <w:rFonts w:hint="cs"/>
          <w:vertAlign w:val="baseline"/>
          <w:rtl/>
        </w:rPr>
        <w:t xml:space="preserve">، ص 112 - 113. </w:t>
      </w:r>
    </w:p>
  </w:footnote>
  <w:footnote w:id="257">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جعفر</w:t>
      </w:r>
      <w:r>
        <w:rPr>
          <w:rStyle w:val="Char9"/>
          <w:rFonts w:hint="cs"/>
          <w:sz w:val="20"/>
          <w:szCs w:val="20"/>
          <w:rtl/>
        </w:rPr>
        <w:t>ی</w:t>
      </w:r>
      <w:r w:rsidRPr="006E28E9">
        <w:rPr>
          <w:rFonts w:hint="cs"/>
          <w:rtl/>
        </w:rPr>
        <w:t xml:space="preserve"> [الشريعة الجعفرية]، ص 283.</w:t>
      </w:r>
    </w:p>
  </w:footnote>
  <w:footnote w:id="258">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ترق</w:t>
      </w:r>
      <w:r>
        <w:rPr>
          <w:rStyle w:val="Char9"/>
          <w:rFonts w:hint="cs"/>
          <w:sz w:val="20"/>
          <w:szCs w:val="20"/>
          <w:rtl/>
        </w:rPr>
        <w:t>ی</w:t>
      </w:r>
      <w:r w:rsidRPr="006E28E9">
        <w:rPr>
          <w:rFonts w:hint="cs"/>
          <w:rtl/>
        </w:rPr>
        <w:t xml:space="preserve">، سنة 1331 </w:t>
      </w:r>
      <w:r w:rsidRPr="006E28E9">
        <w:rPr>
          <w:rFonts w:hint="cs"/>
          <w:rtl/>
          <w:lang w:bidi="ar-SY"/>
        </w:rPr>
        <w:t>هـ.ش</w:t>
      </w:r>
      <w:r w:rsidRPr="006E28E9">
        <w:rPr>
          <w:rFonts w:hint="cs"/>
          <w:rtl/>
        </w:rPr>
        <w:t xml:space="preserve">، العدد 22؛ نقلاً عن مجلة </w:t>
      </w:r>
      <w:r>
        <w:rPr>
          <w:rStyle w:val="Char9"/>
          <w:rFonts w:hint="cs"/>
          <w:sz w:val="20"/>
          <w:szCs w:val="20"/>
          <w:rtl/>
        </w:rPr>
        <w:t>ی</w:t>
      </w:r>
      <w:r w:rsidRPr="008C7124">
        <w:rPr>
          <w:rStyle w:val="Char9"/>
          <w:rFonts w:hint="cs"/>
          <w:sz w:val="20"/>
          <w:szCs w:val="20"/>
          <w:rtl/>
        </w:rPr>
        <w:t>اد</w:t>
      </w:r>
      <w:r w:rsidRPr="006E28E9">
        <w:rPr>
          <w:rFonts w:hint="cs"/>
          <w:rtl/>
        </w:rPr>
        <w:t xml:space="preserve">، العدد 1، صفحة 127 - 135. وقد قُتِل شخصٌ وجُرِح عددٌ آخر من الطلاب في الاشتباكات التي وقعت بسبب هذه المسألة. وفي هذه الحادثة دخل بعض أتباع منظمة «فدائيان اسلام» على الخط مناصرين للسيد البروجردي واشتبكوا مع أنصار البرقعي الذين كانوا يرفعون شعار «يسقط الإسلام المهترئ - يسقط بروجردي، يحيا آية الله البرقعي». </w:t>
      </w:r>
      <w:r w:rsidRPr="006E28E9">
        <w:rPr>
          <w:rFonts w:hint="cs"/>
          <w:b/>
          <w:bCs/>
          <w:rtl/>
        </w:rPr>
        <w:t>المصدر نفسه</w:t>
      </w:r>
      <w:r w:rsidRPr="006E28E9">
        <w:rPr>
          <w:rFonts w:hint="cs"/>
          <w:rtl/>
        </w:rPr>
        <w:t xml:space="preserve">، ص 131. وانظروا أيضًا ما جاء في </w:t>
      </w:r>
      <w:r w:rsidRPr="006E28E9">
        <w:rPr>
          <w:rFonts w:hint="cs"/>
          <w:b/>
          <w:bCs/>
          <w:rtl/>
        </w:rPr>
        <w:t>ذكريات الشهيد المحلاتي</w:t>
      </w:r>
      <w:r w:rsidRPr="006E28E9">
        <w:rPr>
          <w:rFonts w:hint="cs"/>
          <w:rtl/>
        </w:rPr>
        <w:t xml:space="preserve"> حول حادثة البرقعي تلك، التي نشرتها مجلة: «</w:t>
      </w:r>
      <w:r>
        <w:rPr>
          <w:rStyle w:val="Char9"/>
          <w:rFonts w:hint="cs"/>
          <w:sz w:val="20"/>
          <w:szCs w:val="20"/>
          <w:rtl/>
        </w:rPr>
        <w:t>ی</w:t>
      </w:r>
      <w:r w:rsidRPr="008C7124">
        <w:rPr>
          <w:rStyle w:val="Char9"/>
          <w:rFonts w:hint="cs"/>
          <w:sz w:val="20"/>
          <w:szCs w:val="20"/>
          <w:rtl/>
        </w:rPr>
        <w:t>اد</w:t>
      </w:r>
      <w:r w:rsidRPr="006E28E9">
        <w:rPr>
          <w:rFonts w:hint="cs"/>
          <w:rtl/>
        </w:rPr>
        <w:t xml:space="preserve">»، العدد 3، ص 346 - 347. وانظروا أيضًا حول شخصية البرقعي ومذكرات السيد آذري قمي حول تلك الحادثة: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w:t>
      </w:r>
      <w:r>
        <w:rPr>
          <w:rStyle w:val="Char9"/>
          <w:rFonts w:hint="cs"/>
          <w:sz w:val="20"/>
          <w:szCs w:val="20"/>
          <w:rtl/>
        </w:rPr>
        <w:t>ی</w:t>
      </w:r>
      <w:r w:rsidRPr="008C7124">
        <w:rPr>
          <w:rStyle w:val="Char9"/>
          <w:rFonts w:hint="cs"/>
          <w:sz w:val="20"/>
          <w:szCs w:val="20"/>
          <w:rtl/>
        </w:rPr>
        <w:t>اد»</w:t>
      </w:r>
      <w:r w:rsidRPr="006E28E9">
        <w:rPr>
          <w:rFonts w:hint="cs"/>
          <w:rtl/>
        </w:rPr>
        <w:t>، العدد 5، صص 190 - 193.</w:t>
      </w:r>
    </w:p>
  </w:footnote>
  <w:footnote w:id="25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محمد مصدق (1882-1967)، رئيس وزراء إيراني أسبق شغل المنصب بين عامي 1951 و1953. يعتبر بطلاً قوميًّا في إيران لرفض</w:t>
      </w:r>
      <w:r w:rsidRPr="006E28E9">
        <w:rPr>
          <w:rStyle w:val="FootnoteReference"/>
          <w:rFonts w:hint="cs"/>
          <w:vertAlign w:val="baseline"/>
          <w:rtl/>
        </w:rPr>
        <w:t>ه</w:t>
      </w:r>
      <w:r w:rsidRPr="006E28E9">
        <w:rPr>
          <w:rStyle w:val="FootnoteReference"/>
          <w:vertAlign w:val="baseline"/>
          <w:rtl/>
        </w:rPr>
        <w:t xml:space="preserve"> الهيمنة الغربية وبشكل خاص البريطانية-الأمريكية على بلاده، وقيامه بتأميم النفط إبان تسلمه رئاسة الوزراء، وقيامه بخلع الشاه</w:t>
      </w:r>
      <w:r w:rsidRPr="006E28E9">
        <w:rPr>
          <w:rFonts w:hint="cs"/>
          <w:rtl/>
        </w:rPr>
        <w:t>،</w:t>
      </w:r>
      <w:r w:rsidRPr="006E28E9">
        <w:rPr>
          <w:rStyle w:val="FootnoteReference"/>
          <w:vertAlign w:val="baseline"/>
          <w:rtl/>
        </w:rPr>
        <w:t xml:space="preserve"> إلا أنه سرعان ما أُعيد الشاه بانقلاب عسكري وعملية أمريكية بريطانية مشتركة سميت بعملية أجاكس، اعت</w:t>
      </w:r>
      <w:r w:rsidRPr="006E28E9">
        <w:rPr>
          <w:rFonts w:hint="cs"/>
          <w:rtl/>
        </w:rPr>
        <w:t>ُ</w:t>
      </w:r>
      <w:r w:rsidRPr="006E28E9">
        <w:rPr>
          <w:rStyle w:val="FootnoteReference"/>
          <w:vertAlign w:val="baseline"/>
          <w:rtl/>
        </w:rPr>
        <w:t>قل مصدق على إثرها وح</w:t>
      </w:r>
      <w:r w:rsidRPr="006E28E9">
        <w:rPr>
          <w:rFonts w:hint="cs"/>
          <w:rtl/>
        </w:rPr>
        <w:t>ُ</w:t>
      </w:r>
      <w:r w:rsidRPr="006E28E9">
        <w:rPr>
          <w:rStyle w:val="FootnoteReference"/>
          <w:vertAlign w:val="baseline"/>
          <w:rtl/>
        </w:rPr>
        <w:t>كم عليه بالإعدام ثم خ</w:t>
      </w:r>
      <w:r w:rsidRPr="006E28E9">
        <w:rPr>
          <w:rFonts w:hint="cs"/>
          <w:rtl/>
        </w:rPr>
        <w:t>ُ</w:t>
      </w:r>
      <w:r w:rsidRPr="006E28E9">
        <w:rPr>
          <w:rStyle w:val="FootnoteReference"/>
          <w:vertAlign w:val="baseline"/>
          <w:rtl/>
        </w:rPr>
        <w:t xml:space="preserve">فف الحكم إلى السجن المؤبد، وبعد سجنه ثلاث سنوات أطلق سراحه </w:t>
      </w:r>
      <w:r w:rsidRPr="006E28E9">
        <w:rPr>
          <w:rStyle w:val="FootnoteReference"/>
          <w:rFonts w:hint="cs"/>
          <w:vertAlign w:val="baseline"/>
          <w:rtl/>
        </w:rPr>
        <w:t>ل</w:t>
      </w:r>
      <w:r w:rsidRPr="006E28E9">
        <w:rPr>
          <w:rFonts w:hint="cs"/>
          <w:rtl/>
        </w:rPr>
        <w:t>ي</w:t>
      </w:r>
      <w:r w:rsidRPr="006E28E9">
        <w:rPr>
          <w:rStyle w:val="FootnoteReference"/>
          <w:vertAlign w:val="baseline"/>
          <w:rtl/>
        </w:rPr>
        <w:t xml:space="preserve">وضع رهن الإقامة الجبرية </w:t>
      </w:r>
      <w:r w:rsidRPr="006E28E9">
        <w:rPr>
          <w:rFonts w:hint="cs"/>
          <w:rtl/>
        </w:rPr>
        <w:t xml:space="preserve">في مسقط رأسه </w:t>
      </w:r>
      <w:r w:rsidRPr="006E28E9">
        <w:rPr>
          <w:rStyle w:val="FootnoteReference"/>
          <w:vertAlign w:val="baseline"/>
          <w:rtl/>
        </w:rPr>
        <w:t>مدى الحياة حتى وافته المنيَّة في سنة 1967م</w:t>
      </w:r>
      <w:r w:rsidRPr="006E28E9">
        <w:rPr>
          <w:rFonts w:hint="cs"/>
          <w:rtl/>
        </w:rPr>
        <w:t>. (المُتَرْجِمُ)</w:t>
      </w:r>
    </w:p>
  </w:footnote>
  <w:footnote w:id="260">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خاطرات ومبارزات شه</w:t>
      </w:r>
      <w:r>
        <w:rPr>
          <w:rStyle w:val="Char9"/>
          <w:rFonts w:hint="cs"/>
          <w:sz w:val="20"/>
          <w:szCs w:val="20"/>
          <w:rtl/>
        </w:rPr>
        <w:t>ی</w:t>
      </w:r>
      <w:r w:rsidRPr="008C7124">
        <w:rPr>
          <w:rStyle w:val="Char9"/>
          <w:rFonts w:hint="cs"/>
          <w:sz w:val="20"/>
          <w:szCs w:val="20"/>
          <w:rtl/>
        </w:rPr>
        <w:t>د محلاتى</w:t>
      </w:r>
      <w:r w:rsidRPr="006E28E9">
        <w:rPr>
          <w:rFonts w:hint="cs"/>
          <w:rtl/>
        </w:rPr>
        <w:t xml:space="preserve"> [مذكرات الشهيد المحلاتي ونضاله]، ص 29؛ </w:t>
      </w:r>
      <w:r w:rsidRPr="008C7124">
        <w:rPr>
          <w:rStyle w:val="Char9"/>
          <w:rFonts w:hint="cs"/>
          <w:sz w:val="20"/>
          <w:szCs w:val="20"/>
          <w:rtl/>
        </w:rPr>
        <w:t>خاطرات آ</w:t>
      </w:r>
      <w:r>
        <w:rPr>
          <w:rStyle w:val="Char9"/>
          <w:rFonts w:hint="cs"/>
          <w:sz w:val="20"/>
          <w:szCs w:val="20"/>
          <w:rtl/>
        </w:rPr>
        <w:t>یۀ</w:t>
      </w:r>
      <w:r w:rsidRPr="008C7124">
        <w:rPr>
          <w:rStyle w:val="Char9"/>
          <w:rFonts w:hint="cs"/>
          <w:sz w:val="20"/>
          <w:szCs w:val="20"/>
          <w:rtl/>
        </w:rPr>
        <w:t xml:space="preserve"> الله خلخالى</w:t>
      </w:r>
      <w:r w:rsidRPr="006E28E9">
        <w:rPr>
          <w:rFonts w:hint="cs"/>
          <w:rtl/>
        </w:rPr>
        <w:t xml:space="preserve"> [مذكرات آية الله الخلخالي]، ص 101 - 103؛ هاشمي رفسنجانى، </w:t>
      </w:r>
      <w:r w:rsidRPr="008C7124">
        <w:rPr>
          <w:rStyle w:val="Char9"/>
          <w:rFonts w:hint="cs"/>
          <w:sz w:val="20"/>
          <w:szCs w:val="20"/>
          <w:rtl/>
        </w:rPr>
        <w:t>دوران مبارزه</w:t>
      </w:r>
      <w:r w:rsidRPr="006E28E9">
        <w:rPr>
          <w:rFonts w:hint="cs"/>
          <w:rtl/>
        </w:rPr>
        <w:t xml:space="preserve"> [مرحلة النضال]، ج 1، ص 110؛ </w:t>
      </w:r>
      <w:r w:rsidRPr="008C7124">
        <w:rPr>
          <w:rStyle w:val="Char9"/>
          <w:rFonts w:hint="cs"/>
          <w:sz w:val="20"/>
          <w:szCs w:val="20"/>
          <w:rtl/>
        </w:rPr>
        <w:t>خاطرات آ</w:t>
      </w:r>
      <w:r>
        <w:rPr>
          <w:rStyle w:val="Char9"/>
          <w:rFonts w:hint="cs"/>
          <w:sz w:val="20"/>
          <w:szCs w:val="20"/>
          <w:rtl/>
        </w:rPr>
        <w:t>یۀ</w:t>
      </w:r>
      <w:r w:rsidRPr="008C7124">
        <w:rPr>
          <w:rStyle w:val="Char9"/>
          <w:rFonts w:hint="cs"/>
          <w:sz w:val="20"/>
          <w:szCs w:val="20"/>
          <w:rtl/>
        </w:rPr>
        <w:t xml:space="preserve"> الله خاتم </w:t>
      </w:r>
      <w:r>
        <w:rPr>
          <w:rStyle w:val="Char9"/>
          <w:rFonts w:hint="cs"/>
          <w:sz w:val="20"/>
          <w:szCs w:val="20"/>
          <w:rtl/>
        </w:rPr>
        <w:t>ی</w:t>
      </w:r>
      <w:r w:rsidRPr="008C7124">
        <w:rPr>
          <w:rStyle w:val="Char9"/>
          <w:rFonts w:hint="cs"/>
          <w:sz w:val="20"/>
          <w:szCs w:val="20"/>
          <w:rtl/>
        </w:rPr>
        <w:t>زدى</w:t>
      </w:r>
      <w:r w:rsidRPr="006E28E9">
        <w:rPr>
          <w:rFonts w:hint="cs"/>
          <w:rtl/>
        </w:rPr>
        <w:t xml:space="preserve"> [مذكرات آية الله خاتم يزدي]، ص 63 - 65.</w:t>
      </w:r>
    </w:p>
  </w:footnote>
  <w:footnote w:id="261">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لقد كتبنا حوله بعض الأمور فيما سبق. ولمزيد من الاطلاع على شخصيته وآثاره وأحواله انظروا أيضًا ما كتبناه في كتابنا: </w:t>
      </w:r>
      <w:r w:rsidRPr="006E28E9">
        <w:rPr>
          <w:rFonts w:hint="cs"/>
          <w:b/>
          <w:bCs/>
          <w:rtl/>
        </w:rPr>
        <w:t>رسائل حجابية</w:t>
      </w:r>
      <w:r w:rsidRPr="006E28E9">
        <w:rPr>
          <w:rFonts w:hint="cs"/>
          <w:rtl/>
        </w:rPr>
        <w:t>، ج 2، ص 695 - 698.</w:t>
      </w:r>
    </w:p>
  </w:footnote>
  <w:footnote w:id="262">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آئ</w:t>
      </w:r>
      <w:r>
        <w:rPr>
          <w:rStyle w:val="Char9"/>
          <w:rFonts w:hint="cs"/>
          <w:sz w:val="20"/>
          <w:szCs w:val="20"/>
          <w:rtl/>
        </w:rPr>
        <w:t>ی</w:t>
      </w:r>
      <w:r w:rsidRPr="008C7124">
        <w:rPr>
          <w:rStyle w:val="Char9"/>
          <w:rFonts w:hint="cs"/>
          <w:sz w:val="20"/>
          <w:szCs w:val="20"/>
          <w:rtl/>
        </w:rPr>
        <w:t>ن جاو</w:t>
      </w:r>
      <w:r>
        <w:rPr>
          <w:rStyle w:val="Char9"/>
          <w:rFonts w:hint="cs"/>
          <w:sz w:val="20"/>
          <w:szCs w:val="20"/>
          <w:rtl/>
        </w:rPr>
        <w:t>ی</w:t>
      </w:r>
      <w:r w:rsidRPr="008C7124">
        <w:rPr>
          <w:rStyle w:val="Char9"/>
          <w:rFonts w:hint="cs"/>
          <w:sz w:val="20"/>
          <w:szCs w:val="20"/>
          <w:rtl/>
        </w:rPr>
        <w:t>دان</w:t>
      </w:r>
      <w:r w:rsidRPr="006E28E9">
        <w:rPr>
          <w:rFonts w:hint="cs"/>
          <w:rtl/>
        </w:rPr>
        <w:t xml:space="preserve"> [الشريعة الخالدة]، ج 1، ص 4. </w:t>
      </w:r>
    </w:p>
  </w:footnote>
  <w:footnote w:id="263">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ج 1، ص 234.</w:t>
      </w:r>
      <w:r w:rsidRPr="006E28E9">
        <w:rPr>
          <w:rtl/>
        </w:rPr>
        <w:t xml:space="preserve"> </w:t>
      </w:r>
    </w:p>
  </w:footnote>
  <w:footnote w:id="264">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ص 237.</w:t>
      </w:r>
      <w:r w:rsidRPr="006E28E9">
        <w:rPr>
          <w:rtl/>
        </w:rPr>
        <w:t xml:space="preserve"> </w:t>
      </w:r>
    </w:p>
  </w:footnote>
  <w:footnote w:id="265">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ص 97.</w:t>
      </w:r>
      <w:r w:rsidRPr="006E28E9">
        <w:rPr>
          <w:rtl/>
        </w:rPr>
        <w:t xml:space="preserve"> </w:t>
      </w:r>
    </w:p>
  </w:footnote>
  <w:footnote w:id="266">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ج 1، ص 99 - 104.</w:t>
      </w:r>
      <w:r w:rsidRPr="006E28E9">
        <w:rPr>
          <w:rtl/>
        </w:rPr>
        <w:t xml:space="preserve"> </w:t>
      </w:r>
    </w:p>
  </w:footnote>
  <w:footnote w:id="267">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Fonts w:hint="cs"/>
          <w:b/>
          <w:bCs/>
          <w:rtl/>
        </w:rPr>
        <w:t>المصدر نفسه</w:t>
      </w:r>
      <w:r w:rsidRPr="006E28E9">
        <w:rPr>
          <w:rFonts w:hint="cs"/>
          <w:rtl/>
        </w:rPr>
        <w:t xml:space="preserve">، ص 105. </w:t>
      </w:r>
    </w:p>
  </w:footnote>
  <w:footnote w:id="268">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حول هذا الموضوع انظروا: كوركيس عواد، </w:t>
      </w:r>
      <w:r w:rsidRPr="006E28E9">
        <w:rPr>
          <w:rFonts w:hint="cs"/>
          <w:b/>
          <w:bCs/>
          <w:rtl/>
        </w:rPr>
        <w:t>المطبوعات العراقية</w:t>
      </w:r>
      <w:r w:rsidRPr="006E28E9">
        <w:rPr>
          <w:rFonts w:hint="cs"/>
          <w:rtl/>
        </w:rPr>
        <w:t xml:space="preserve">، ج 1، ص 173؛ </w:t>
      </w:r>
      <w:r w:rsidRPr="006E28E9">
        <w:rPr>
          <w:rFonts w:hint="cs"/>
          <w:b/>
          <w:bCs/>
          <w:rtl/>
        </w:rPr>
        <w:t>مصادر الدراسة العربية</w:t>
      </w:r>
      <w:r w:rsidRPr="006E28E9">
        <w:rPr>
          <w:rFonts w:hint="cs"/>
          <w:rtl/>
        </w:rPr>
        <w:t>، ج 4، ص 261، وكان آية الله [السيد محسن الطباطبائي] الحكيم من المعارضين بشدة لتلك الفتوى. وانظروا أيضًا: مقال "فرنر إنده" تحت عنوان «</w:t>
      </w:r>
      <w:r w:rsidRPr="008C7124">
        <w:rPr>
          <w:rStyle w:val="Char9"/>
          <w:rFonts w:hint="cs"/>
          <w:sz w:val="20"/>
          <w:szCs w:val="20"/>
          <w:rtl/>
        </w:rPr>
        <w:t>صعود وهبوط مصلح ش</w:t>
      </w:r>
      <w:r>
        <w:rPr>
          <w:rStyle w:val="Char9"/>
          <w:rFonts w:hint="cs"/>
          <w:sz w:val="20"/>
          <w:szCs w:val="20"/>
          <w:rtl/>
        </w:rPr>
        <w:t>ی</w:t>
      </w:r>
      <w:r w:rsidRPr="008C7124">
        <w:rPr>
          <w:rStyle w:val="Char9"/>
          <w:rFonts w:hint="cs"/>
          <w:sz w:val="20"/>
          <w:szCs w:val="20"/>
          <w:rtl/>
        </w:rPr>
        <w:t>ع</w:t>
      </w:r>
      <w:r>
        <w:rPr>
          <w:rStyle w:val="Char9"/>
          <w:rFonts w:hint="cs"/>
          <w:sz w:val="20"/>
          <w:szCs w:val="20"/>
          <w:rtl/>
        </w:rPr>
        <w:t>ی</w:t>
      </w:r>
      <w:r w:rsidRPr="006E28E9">
        <w:rPr>
          <w:rFonts w:hint="cs"/>
          <w:rtl/>
        </w:rPr>
        <w:t xml:space="preserve">» محمد خالصي، ترجمه للفارسية محمد حسين رفيعي، ونُشِر في موقع مكتبة مجلس الشورى الإسلامي على شبكة الإنترنت. </w:t>
      </w:r>
    </w:p>
  </w:footnote>
  <w:footnote w:id="269">
    <w:p w:rsidR="008C7124" w:rsidRPr="006E28E9" w:rsidRDefault="008C7124" w:rsidP="0092648A">
      <w:pPr>
        <w:pStyle w:val="FootnoteText"/>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گنج</w:t>
      </w:r>
      <w:r>
        <w:rPr>
          <w:rStyle w:val="Char9"/>
          <w:rFonts w:hint="cs"/>
          <w:sz w:val="20"/>
          <w:szCs w:val="20"/>
          <w:rtl/>
        </w:rPr>
        <w:t>ی</w:t>
      </w:r>
      <w:r w:rsidRPr="008C7124">
        <w:rPr>
          <w:rStyle w:val="Char9"/>
          <w:rFonts w:hint="cs"/>
          <w:sz w:val="20"/>
          <w:szCs w:val="20"/>
          <w:rtl/>
        </w:rPr>
        <w:t>نه دانشمندان</w:t>
      </w:r>
      <w:r w:rsidRPr="006E28E9">
        <w:rPr>
          <w:rFonts w:hint="cs"/>
          <w:rtl/>
        </w:rPr>
        <w:t xml:space="preserve"> [كنز العلماء]، ج 1، ص 229 - 230. </w:t>
      </w:r>
    </w:p>
  </w:footnote>
  <w:footnote w:id="270">
    <w:p w:rsidR="008C7124" w:rsidRPr="006E28E9" w:rsidRDefault="008C7124" w:rsidP="0092648A">
      <w:pPr>
        <w:pStyle w:val="FootnoteText"/>
      </w:pPr>
      <w:r w:rsidRPr="006E28E9">
        <w:rPr>
          <w:rFonts w:ascii="Arabic11 BT" w:hAnsi="Arabic11 BT" w:cs="Arabic11 BT"/>
          <w:b/>
          <w:bCs/>
        </w:rPr>
        <w:footnoteRef/>
      </w:r>
      <w:r w:rsidRPr="006E28E9">
        <w:rPr>
          <w:rFonts w:hint="cs"/>
          <w:b/>
          <w:bCs/>
          <w:rtl/>
        </w:rPr>
        <w:t xml:space="preserve">. </w:t>
      </w:r>
      <w:r w:rsidRPr="006E28E9">
        <w:rPr>
          <w:rtl/>
        </w:rPr>
        <w:t xml:space="preserve">انظروا: مجلة: </w:t>
      </w:r>
      <w:r w:rsidRPr="008C7124">
        <w:rPr>
          <w:rStyle w:val="Char9"/>
          <w:sz w:val="20"/>
          <w:szCs w:val="20"/>
          <w:rtl/>
        </w:rPr>
        <w:t>تار</w:t>
      </w:r>
      <w:r>
        <w:rPr>
          <w:rStyle w:val="Char9"/>
          <w:sz w:val="20"/>
          <w:szCs w:val="20"/>
          <w:rtl/>
        </w:rPr>
        <w:t>ی</w:t>
      </w:r>
      <w:r w:rsidRPr="008C7124">
        <w:rPr>
          <w:rStyle w:val="Char9"/>
          <w:sz w:val="20"/>
          <w:szCs w:val="20"/>
          <w:rtl/>
        </w:rPr>
        <w:t>خ فرهنگ معاصر</w:t>
      </w:r>
      <w:r w:rsidRPr="006E28E9">
        <w:rPr>
          <w:rtl/>
        </w:rPr>
        <w:t>، العدد 5، ص 165.</w:t>
      </w:r>
    </w:p>
  </w:footnote>
  <w:footnote w:id="27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w:t>
      </w:r>
      <w:r>
        <w:rPr>
          <w:rStyle w:val="Char9"/>
          <w:rFonts w:hint="cs"/>
          <w:sz w:val="20"/>
          <w:szCs w:val="20"/>
          <w:rtl/>
        </w:rPr>
        <w:t>یۀ</w:t>
      </w:r>
      <w:r w:rsidRPr="008C7124">
        <w:rPr>
          <w:rStyle w:val="Char9"/>
          <w:rFonts w:hint="cs"/>
          <w:sz w:val="20"/>
          <w:szCs w:val="20"/>
          <w:rtl/>
        </w:rPr>
        <w:t xml:space="preserve"> الله مل</w:t>
      </w:r>
      <w:r>
        <w:rPr>
          <w:rStyle w:val="Char9"/>
          <w:rFonts w:hint="cs"/>
          <w:sz w:val="20"/>
          <w:szCs w:val="20"/>
          <w:rtl/>
        </w:rPr>
        <w:t>ک</w:t>
      </w:r>
      <w:r w:rsidRPr="008C7124">
        <w:rPr>
          <w:rStyle w:val="Char9"/>
          <w:rFonts w:hint="cs"/>
          <w:sz w:val="20"/>
          <w:szCs w:val="20"/>
          <w:rtl/>
        </w:rPr>
        <w:t>وت</w:t>
      </w:r>
      <w:r>
        <w:rPr>
          <w:rStyle w:val="Char9"/>
          <w:rFonts w:hint="cs"/>
          <w:sz w:val="20"/>
          <w:szCs w:val="20"/>
          <w:rtl/>
        </w:rPr>
        <w:t>ی</w:t>
      </w:r>
      <w:r w:rsidRPr="006E28E9">
        <w:rPr>
          <w:rFonts w:hint="cs"/>
          <w:rtl/>
        </w:rPr>
        <w:t>، ص 152.</w:t>
      </w:r>
    </w:p>
  </w:footnote>
  <w:footnote w:id="27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يمكننا أن نجد نموذج</w:t>
      </w:r>
      <w:r w:rsidRPr="006E28E9">
        <w:rPr>
          <w:rFonts w:hint="cs"/>
          <w:rtl/>
        </w:rPr>
        <w:t>ًا</w:t>
      </w:r>
      <w:r w:rsidRPr="006E28E9">
        <w:rPr>
          <w:rtl/>
        </w:rPr>
        <w:t xml:space="preserve"> لذلك في كتابه حول الحجاب. وقد طبعت</w:t>
      </w:r>
      <w:r w:rsidRPr="006E28E9">
        <w:rPr>
          <w:rFonts w:hint="cs"/>
          <w:rtl/>
        </w:rPr>
        <w:t>ُ</w:t>
      </w:r>
      <w:r w:rsidRPr="006E28E9">
        <w:rPr>
          <w:rtl/>
        </w:rPr>
        <w:t xml:space="preserve"> نص</w:t>
      </w:r>
      <w:r w:rsidRPr="006E28E9">
        <w:rPr>
          <w:rFonts w:hint="cs"/>
          <w:rtl/>
        </w:rPr>
        <w:t>َّ</w:t>
      </w:r>
      <w:r w:rsidRPr="006E28E9">
        <w:rPr>
          <w:rtl/>
        </w:rPr>
        <w:t xml:space="preserve"> ذلك الكتاب في </w:t>
      </w:r>
      <w:r w:rsidRPr="006E28E9">
        <w:rPr>
          <w:rFonts w:hint="cs"/>
          <w:rtl/>
        </w:rPr>
        <w:t>كتابي «</w:t>
      </w:r>
      <w:r w:rsidRPr="006E28E9">
        <w:rPr>
          <w:b/>
          <w:bCs/>
          <w:rtl/>
        </w:rPr>
        <w:t>رسائل حجابية</w:t>
      </w:r>
      <w:r w:rsidRPr="006E28E9">
        <w:rPr>
          <w:rFonts w:hint="cs"/>
          <w:rtl/>
        </w:rPr>
        <w:t>»</w:t>
      </w:r>
      <w:r w:rsidRPr="006E28E9">
        <w:rPr>
          <w:rtl/>
        </w:rPr>
        <w:t xml:space="preserve">. </w:t>
      </w:r>
      <w:r w:rsidRPr="006E28E9">
        <w:rPr>
          <w:rFonts w:hint="cs"/>
          <w:rtl/>
        </w:rPr>
        <w:t>و</w:t>
      </w:r>
      <w:r w:rsidRPr="006E28E9">
        <w:rPr>
          <w:rtl/>
        </w:rPr>
        <w:t xml:space="preserve">قامت دار النشر التابعة لمكتب المطبوعات الدينية في طهران بطباعة </w:t>
      </w:r>
      <w:r w:rsidRPr="006E28E9">
        <w:rPr>
          <w:rFonts w:hint="cs"/>
          <w:rtl/>
        </w:rPr>
        <w:t>ذلك</w:t>
      </w:r>
      <w:r w:rsidRPr="006E28E9">
        <w:rPr>
          <w:rtl/>
        </w:rPr>
        <w:t xml:space="preserve"> الكتاب سنة 1327هـ.ش [1948م] بعنوان: «</w:t>
      </w:r>
      <w:r w:rsidRPr="008C7124">
        <w:rPr>
          <w:rStyle w:val="Char9"/>
          <w:sz w:val="20"/>
          <w:szCs w:val="20"/>
          <w:rtl/>
        </w:rPr>
        <w:t>حق</w:t>
      </w:r>
      <w:r>
        <w:rPr>
          <w:rStyle w:val="Char9"/>
          <w:sz w:val="20"/>
          <w:szCs w:val="20"/>
          <w:rtl/>
        </w:rPr>
        <w:t>ی</w:t>
      </w:r>
      <w:r w:rsidRPr="008C7124">
        <w:rPr>
          <w:rStyle w:val="Char9"/>
          <w:sz w:val="20"/>
          <w:szCs w:val="20"/>
          <w:rtl/>
        </w:rPr>
        <w:t>قت حجاب در اسلام</w:t>
      </w:r>
      <w:r w:rsidRPr="006E28E9">
        <w:rPr>
          <w:rtl/>
        </w:rPr>
        <w:t>» [حقيقة الحجاب في الإسلام].</w:t>
      </w:r>
    </w:p>
  </w:footnote>
  <w:footnote w:id="27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قام علي أكبر علم، الذي كان من مريدي الخالصي - بتأليف كتاب بعنوان «</w:t>
      </w:r>
      <w:r w:rsidRPr="008C7124">
        <w:rPr>
          <w:rStyle w:val="Char9"/>
          <w:sz w:val="20"/>
          <w:szCs w:val="20"/>
          <w:rtl/>
        </w:rPr>
        <w:t>مظهر د</w:t>
      </w:r>
      <w:r>
        <w:rPr>
          <w:rStyle w:val="Char9"/>
          <w:sz w:val="20"/>
          <w:szCs w:val="20"/>
          <w:rtl/>
        </w:rPr>
        <w:t>ی</w:t>
      </w:r>
      <w:r w:rsidRPr="008C7124">
        <w:rPr>
          <w:rStyle w:val="Char9"/>
          <w:sz w:val="20"/>
          <w:szCs w:val="20"/>
          <w:rtl/>
        </w:rPr>
        <w:t>انت و آزاد</w:t>
      </w:r>
      <w:r>
        <w:rPr>
          <w:rStyle w:val="Char9"/>
          <w:sz w:val="20"/>
          <w:szCs w:val="20"/>
          <w:rtl/>
        </w:rPr>
        <w:t>ی</w:t>
      </w:r>
      <w:r w:rsidRPr="008C7124">
        <w:rPr>
          <w:rStyle w:val="Char9"/>
          <w:sz w:val="20"/>
          <w:szCs w:val="20"/>
          <w:rtl/>
        </w:rPr>
        <w:t xml:space="preserve"> آ</w:t>
      </w:r>
      <w:r>
        <w:rPr>
          <w:rStyle w:val="Char9"/>
          <w:sz w:val="20"/>
          <w:szCs w:val="20"/>
          <w:rtl/>
        </w:rPr>
        <w:t>یۀ</w:t>
      </w:r>
      <w:r w:rsidRPr="008C7124">
        <w:rPr>
          <w:rStyle w:val="Char9"/>
          <w:sz w:val="20"/>
          <w:szCs w:val="20"/>
          <w:rtl/>
        </w:rPr>
        <w:t xml:space="preserve"> الله الخالص</w:t>
      </w:r>
      <w:r>
        <w:rPr>
          <w:rStyle w:val="Char9"/>
          <w:sz w:val="20"/>
          <w:szCs w:val="20"/>
          <w:rtl/>
        </w:rPr>
        <w:t>ی</w:t>
      </w:r>
      <w:r w:rsidRPr="006E28E9">
        <w:rPr>
          <w:rtl/>
        </w:rPr>
        <w:t>» [أي: آية الله الخالصي مظهر الدين والحرّيّة] ونشره عام 1323هـ.ش. وقيل إنه بعد مدة من الزمن أعلن في صحيفة «</w:t>
      </w:r>
      <w:r w:rsidRPr="008C7124">
        <w:rPr>
          <w:rStyle w:val="Char9"/>
          <w:sz w:val="20"/>
          <w:szCs w:val="20"/>
          <w:rtl/>
        </w:rPr>
        <w:t>إ</w:t>
      </w:r>
      <w:r>
        <w:rPr>
          <w:rStyle w:val="Char9"/>
          <w:sz w:val="20"/>
          <w:szCs w:val="20"/>
          <w:rtl/>
        </w:rPr>
        <w:t>ی</w:t>
      </w:r>
      <w:r w:rsidRPr="008C7124">
        <w:rPr>
          <w:rStyle w:val="Char9"/>
          <w:sz w:val="20"/>
          <w:szCs w:val="20"/>
          <w:rtl/>
        </w:rPr>
        <w:t>ران ما</w:t>
      </w:r>
      <w:r w:rsidRPr="006E28E9">
        <w:rPr>
          <w:rtl/>
        </w:rPr>
        <w:t>» [أي إيرانُنَا] تبرؤه من الخالصي.</w:t>
      </w:r>
    </w:p>
  </w:footnote>
  <w:footnote w:id="274">
    <w:p w:rsidR="008C7124" w:rsidRPr="006E28E9" w:rsidRDefault="008C7124" w:rsidP="0092648A">
      <w:pPr>
        <w:pStyle w:val="FootnoteText"/>
        <w:rPr>
          <w:rStyle w:val="FootnoteReference"/>
          <w:vertAlign w:val="baseline"/>
          <w:rtl/>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انعكست محاربته للشيخية في كتابه «</w:t>
      </w:r>
      <w:r w:rsidRPr="008C7124">
        <w:rPr>
          <w:rStyle w:val="Char9"/>
          <w:sz w:val="20"/>
          <w:szCs w:val="20"/>
          <w:rtl/>
        </w:rPr>
        <w:t>خرافات ش</w:t>
      </w:r>
      <w:r>
        <w:rPr>
          <w:rStyle w:val="Char9"/>
          <w:sz w:val="20"/>
          <w:szCs w:val="20"/>
          <w:rtl/>
        </w:rPr>
        <w:t>ی</w:t>
      </w:r>
      <w:r w:rsidRPr="008C7124">
        <w:rPr>
          <w:rStyle w:val="Char9"/>
          <w:sz w:val="20"/>
          <w:szCs w:val="20"/>
          <w:rtl/>
        </w:rPr>
        <w:t>خ</w:t>
      </w:r>
      <w:r>
        <w:rPr>
          <w:rStyle w:val="Char9"/>
          <w:sz w:val="20"/>
          <w:szCs w:val="20"/>
          <w:rtl/>
        </w:rPr>
        <w:t>یۀ</w:t>
      </w:r>
      <w:r w:rsidRPr="008C7124">
        <w:rPr>
          <w:rStyle w:val="Char9"/>
          <w:sz w:val="20"/>
          <w:szCs w:val="20"/>
          <w:rtl/>
        </w:rPr>
        <w:t xml:space="preserve"> و</w:t>
      </w:r>
      <w:r>
        <w:rPr>
          <w:rStyle w:val="Char9"/>
          <w:sz w:val="20"/>
          <w:szCs w:val="20"/>
          <w:rtl/>
        </w:rPr>
        <w:t>ک</w:t>
      </w:r>
      <w:r w:rsidRPr="008C7124">
        <w:rPr>
          <w:rStyle w:val="Char9"/>
          <w:sz w:val="20"/>
          <w:szCs w:val="20"/>
          <w:rtl/>
        </w:rPr>
        <w:t>فر</w:t>
      </w:r>
      <w:r>
        <w:rPr>
          <w:rStyle w:val="Char9"/>
          <w:sz w:val="20"/>
          <w:szCs w:val="20"/>
          <w:rtl/>
        </w:rPr>
        <w:t>ی</w:t>
      </w:r>
      <w:r w:rsidRPr="008C7124">
        <w:rPr>
          <w:rStyle w:val="Char9"/>
          <w:sz w:val="20"/>
          <w:szCs w:val="20"/>
          <w:rtl/>
        </w:rPr>
        <w:t xml:space="preserve">ات ارشاد العوام </w:t>
      </w:r>
      <w:r>
        <w:rPr>
          <w:rStyle w:val="Char9"/>
          <w:sz w:val="20"/>
          <w:szCs w:val="20"/>
          <w:rtl/>
        </w:rPr>
        <w:t>ی</w:t>
      </w:r>
      <w:r w:rsidRPr="008C7124">
        <w:rPr>
          <w:rStyle w:val="Char9"/>
          <w:sz w:val="20"/>
          <w:szCs w:val="20"/>
          <w:rtl/>
        </w:rPr>
        <w:t xml:space="preserve">ا دسائس </w:t>
      </w:r>
      <w:r>
        <w:rPr>
          <w:rStyle w:val="Char9"/>
          <w:sz w:val="20"/>
          <w:szCs w:val="20"/>
          <w:rtl/>
        </w:rPr>
        <w:t>ک</w:t>
      </w:r>
      <w:r w:rsidRPr="008C7124">
        <w:rPr>
          <w:rStyle w:val="Char9"/>
          <w:sz w:val="20"/>
          <w:szCs w:val="20"/>
          <w:rtl/>
        </w:rPr>
        <w:t>ش</w:t>
      </w:r>
      <w:r>
        <w:rPr>
          <w:rStyle w:val="Char9"/>
          <w:sz w:val="20"/>
          <w:szCs w:val="20"/>
          <w:rtl/>
        </w:rPr>
        <w:t>ی</w:t>
      </w:r>
      <w:r w:rsidRPr="008C7124">
        <w:rPr>
          <w:rStyle w:val="Char9"/>
          <w:sz w:val="20"/>
          <w:szCs w:val="20"/>
          <w:rtl/>
        </w:rPr>
        <w:t>شان در ا</w:t>
      </w:r>
      <w:r>
        <w:rPr>
          <w:rStyle w:val="Char9"/>
          <w:sz w:val="20"/>
          <w:szCs w:val="20"/>
          <w:rtl/>
        </w:rPr>
        <w:t>ی</w:t>
      </w:r>
      <w:r w:rsidRPr="008C7124">
        <w:rPr>
          <w:rStyle w:val="Char9"/>
          <w:sz w:val="20"/>
          <w:szCs w:val="20"/>
          <w:rtl/>
        </w:rPr>
        <w:t>ران</w:t>
      </w:r>
      <w:r w:rsidRPr="006E28E9">
        <w:rPr>
          <w:rtl/>
        </w:rPr>
        <w:t xml:space="preserve">» [أي خرافات الشيخية وكفريات إرشاد العوام أو دسائس قساوسة إيران] الذي نشر سنة 1367 هـ.ق. </w:t>
      </w:r>
      <w:r w:rsidRPr="006E28E9">
        <w:rPr>
          <w:rFonts w:hint="cs"/>
          <w:rtl/>
        </w:rPr>
        <w:t>و</w:t>
      </w:r>
      <w:r w:rsidRPr="006E28E9">
        <w:rPr>
          <w:rtl/>
        </w:rPr>
        <w:t xml:space="preserve">ألفه في الرد على كتاب لأحد الشيخية ألفه </w:t>
      </w:r>
      <w:r w:rsidRPr="006E28E9">
        <w:rPr>
          <w:rFonts w:hint="cs"/>
          <w:rtl/>
        </w:rPr>
        <w:t xml:space="preserve">بدوره </w:t>
      </w:r>
      <w:r w:rsidRPr="006E28E9">
        <w:rPr>
          <w:rtl/>
        </w:rPr>
        <w:t>في الرد على بيانات الشيخ الخالصي المنبرية. بعد ذلك ألف الشيخية عددًا من الكتب في الرد عل</w:t>
      </w:r>
      <w:r w:rsidRPr="006E28E9">
        <w:rPr>
          <w:rFonts w:hint="cs"/>
          <w:rtl/>
        </w:rPr>
        <w:t>ى الشيخ الخالصي</w:t>
      </w:r>
      <w:r w:rsidRPr="006E28E9">
        <w:rPr>
          <w:rtl/>
        </w:rPr>
        <w:t>، منها كتاب «</w:t>
      </w:r>
      <w:r>
        <w:rPr>
          <w:rStyle w:val="Char9"/>
          <w:sz w:val="20"/>
          <w:szCs w:val="20"/>
          <w:rtl/>
        </w:rPr>
        <w:t>ک</w:t>
      </w:r>
      <w:r w:rsidRPr="008C7124">
        <w:rPr>
          <w:rStyle w:val="Char9"/>
          <w:sz w:val="20"/>
          <w:szCs w:val="20"/>
          <w:rtl/>
        </w:rPr>
        <w:t>لمه</w:t>
      </w:r>
      <w:r w:rsidRPr="006E28E9">
        <w:rPr>
          <w:rFonts w:ascii="Times New Roman" w:hAnsi="Times New Roman" w:cs="Times New Roman" w:hint="cs"/>
          <w:b/>
          <w:bCs/>
          <w:rtl/>
        </w:rPr>
        <w:t>‌</w:t>
      </w:r>
      <w:r w:rsidRPr="008C7124">
        <w:rPr>
          <w:rStyle w:val="Char9"/>
          <w:sz w:val="20"/>
          <w:szCs w:val="20"/>
          <w:rtl/>
        </w:rPr>
        <w:t>ا</w:t>
      </w:r>
      <w:r>
        <w:rPr>
          <w:rStyle w:val="Char9"/>
          <w:sz w:val="20"/>
          <w:szCs w:val="20"/>
          <w:rtl/>
        </w:rPr>
        <w:t>ی</w:t>
      </w:r>
      <w:r w:rsidRPr="008C7124">
        <w:rPr>
          <w:rStyle w:val="Char9"/>
          <w:sz w:val="20"/>
          <w:szCs w:val="20"/>
          <w:rtl/>
        </w:rPr>
        <w:t xml:space="preserve"> از هزار</w:t>
      </w:r>
      <w:r w:rsidRPr="006E28E9">
        <w:rPr>
          <w:rtl/>
        </w:rPr>
        <w:t>» [كلمة من ألف] الذي ألفه غلام حسين معتمد الإسلام وطبع</w:t>
      </w:r>
      <w:r w:rsidRPr="006E28E9">
        <w:rPr>
          <w:rFonts w:hint="cs"/>
          <w:rtl/>
        </w:rPr>
        <w:t>ت</w:t>
      </w:r>
      <w:r w:rsidRPr="006E28E9">
        <w:rPr>
          <w:rtl/>
        </w:rPr>
        <w:t>ه مدرسة الشيعة في تبريز (التابعة للشيخية) في شهر تير من سنة 1345 هـ.ش [1966م]. وكانت تلك الرسالة - حسب الظاهر - ردًّا على نشرة «</w:t>
      </w:r>
      <w:r w:rsidRPr="006E28E9">
        <w:rPr>
          <w:b/>
          <w:bCs/>
          <w:rtl/>
        </w:rPr>
        <w:t>عملاء الاستعمار في لباس الدين</w:t>
      </w:r>
      <w:r w:rsidRPr="006E28E9">
        <w:rPr>
          <w:rtl/>
        </w:rPr>
        <w:t>»</w:t>
      </w:r>
      <w:r w:rsidRPr="006E28E9">
        <w:rPr>
          <w:rFonts w:hint="cs"/>
          <w:rtl/>
        </w:rPr>
        <w:t xml:space="preserve">، </w:t>
      </w:r>
      <w:r w:rsidRPr="006E28E9">
        <w:rPr>
          <w:rtl/>
        </w:rPr>
        <w:t xml:space="preserve">الذي كان قد كتبه شخص آخر </w:t>
      </w:r>
      <w:r w:rsidRPr="006E28E9">
        <w:rPr>
          <w:rFonts w:hint="cs"/>
          <w:rtl/>
        </w:rPr>
        <w:t>إلا أنَّه</w:t>
      </w:r>
      <w:r w:rsidRPr="006E28E9">
        <w:rPr>
          <w:rtl/>
        </w:rPr>
        <w:t xml:space="preserve"> كان قد استند في كتابه إلى </w:t>
      </w:r>
      <w:r w:rsidRPr="006E28E9">
        <w:rPr>
          <w:rFonts w:hint="cs"/>
          <w:rtl/>
        </w:rPr>
        <w:t>الأفكار</w:t>
      </w:r>
      <w:r w:rsidRPr="006E28E9">
        <w:rPr>
          <w:rtl/>
        </w:rPr>
        <w:t xml:space="preserve"> التي ذكرها الشيخ خالصي زاده في الردّ على الشيخية، ولاسيما في الردّ على الشيخ أحمد الإحسائي. في مقدمة كتاب «</w:t>
      </w:r>
      <w:r>
        <w:rPr>
          <w:rStyle w:val="Char9"/>
          <w:sz w:val="20"/>
          <w:szCs w:val="20"/>
          <w:rtl/>
        </w:rPr>
        <w:t>ک</w:t>
      </w:r>
      <w:r w:rsidRPr="008C7124">
        <w:rPr>
          <w:rStyle w:val="Char9"/>
          <w:sz w:val="20"/>
          <w:szCs w:val="20"/>
          <w:rtl/>
        </w:rPr>
        <w:t>لمه</w:t>
      </w:r>
      <w:r w:rsidRPr="006E28E9">
        <w:rPr>
          <w:rFonts w:ascii="Times New Roman" w:hAnsi="Times New Roman" w:cs="Times New Roman" w:hint="cs"/>
          <w:b/>
          <w:bCs/>
          <w:rtl/>
        </w:rPr>
        <w:t>‌</w:t>
      </w:r>
      <w:r w:rsidRPr="008C7124">
        <w:rPr>
          <w:rStyle w:val="Char9"/>
          <w:rFonts w:hint="cs"/>
          <w:sz w:val="20"/>
          <w:szCs w:val="20"/>
          <w:rtl/>
        </w:rPr>
        <w:t>اى</w:t>
      </w:r>
      <w:r w:rsidRPr="008C7124">
        <w:rPr>
          <w:rStyle w:val="Char9"/>
          <w:sz w:val="20"/>
          <w:szCs w:val="20"/>
          <w:rtl/>
        </w:rPr>
        <w:t xml:space="preserve"> </w:t>
      </w:r>
      <w:r w:rsidRPr="008C7124">
        <w:rPr>
          <w:rStyle w:val="Char9"/>
          <w:rFonts w:hint="cs"/>
          <w:sz w:val="20"/>
          <w:szCs w:val="20"/>
          <w:rtl/>
        </w:rPr>
        <w:t>از</w:t>
      </w:r>
      <w:r w:rsidRPr="008C7124">
        <w:rPr>
          <w:rStyle w:val="Char9"/>
          <w:sz w:val="20"/>
          <w:szCs w:val="20"/>
          <w:rtl/>
        </w:rPr>
        <w:t xml:space="preserve"> </w:t>
      </w:r>
      <w:r w:rsidRPr="008C7124">
        <w:rPr>
          <w:rStyle w:val="Char9"/>
          <w:rFonts w:hint="cs"/>
          <w:sz w:val="20"/>
          <w:szCs w:val="20"/>
          <w:rtl/>
        </w:rPr>
        <w:t>هزار</w:t>
      </w:r>
      <w:r w:rsidRPr="006E28E9">
        <w:rPr>
          <w:rtl/>
        </w:rPr>
        <w:t xml:space="preserve">» [كلمة من ألف] تم الحديث عن خالصي زاده </w:t>
      </w:r>
      <w:r w:rsidRPr="006E28E9">
        <w:rPr>
          <w:rFonts w:hint="cs"/>
          <w:rtl/>
        </w:rPr>
        <w:t xml:space="preserve">بوصفه </w:t>
      </w:r>
      <w:r w:rsidRPr="006E28E9">
        <w:rPr>
          <w:rtl/>
        </w:rPr>
        <w:t>شخص</w:t>
      </w:r>
      <w:r w:rsidRPr="006E28E9">
        <w:rPr>
          <w:rFonts w:hint="cs"/>
          <w:rtl/>
        </w:rPr>
        <w:t>ًا</w:t>
      </w:r>
      <w:r w:rsidRPr="006E28E9">
        <w:rPr>
          <w:rtl/>
        </w:rPr>
        <w:t xml:space="preserve"> غامض</w:t>
      </w:r>
      <w:r w:rsidRPr="006E28E9">
        <w:rPr>
          <w:rFonts w:hint="cs"/>
          <w:rtl/>
        </w:rPr>
        <w:t>ًا</w:t>
      </w:r>
      <w:r w:rsidRPr="006E28E9">
        <w:rPr>
          <w:rtl/>
        </w:rPr>
        <w:t xml:space="preserve"> ومُريب</w:t>
      </w:r>
      <w:r w:rsidRPr="006E28E9">
        <w:rPr>
          <w:rFonts w:hint="cs"/>
          <w:rtl/>
        </w:rPr>
        <w:t>ًا</w:t>
      </w:r>
      <w:r w:rsidRPr="006E28E9">
        <w:rPr>
          <w:rtl/>
        </w:rPr>
        <w:t xml:space="preserve"> وعميل</w:t>
      </w:r>
      <w:r w:rsidRPr="006E28E9">
        <w:rPr>
          <w:rFonts w:hint="cs"/>
          <w:rtl/>
        </w:rPr>
        <w:t>ًا</w:t>
      </w:r>
      <w:r w:rsidRPr="006E28E9">
        <w:rPr>
          <w:rtl/>
        </w:rPr>
        <w:t xml:space="preserve">، وقيل في حقِّه: «حتى في تلك الأيام التي كان </w:t>
      </w:r>
      <w:r w:rsidRPr="006E28E9">
        <w:rPr>
          <w:rFonts w:hint="cs"/>
          <w:rtl/>
        </w:rPr>
        <w:t xml:space="preserve">خالصي زاده </w:t>
      </w:r>
      <w:r w:rsidRPr="006E28E9">
        <w:rPr>
          <w:rtl/>
        </w:rPr>
        <w:t>يعيش فيها بشكل غامض ومبهم في يزد و تويسركان وسائر أنحاء إيران، كان أغلب الكُتَّاب يطلقون عليه لقب مخلوطي</w:t>
      </w:r>
      <w:r w:rsidRPr="006E28E9">
        <w:rPr>
          <w:rFonts w:ascii="Times New Roman" w:hAnsi="Times New Roman" w:cs="Times New Roman" w:hint="cs"/>
          <w:rtl/>
        </w:rPr>
        <w:t>‌</w:t>
      </w:r>
      <w:r w:rsidRPr="006E28E9">
        <w:rPr>
          <w:rFonts w:ascii="mylotus" w:hAnsi="mylotus" w:hint="cs"/>
          <w:rtl/>
        </w:rPr>
        <w:t>زادة</w:t>
      </w:r>
      <w:r w:rsidRPr="006E28E9">
        <w:rPr>
          <w:rtl/>
        </w:rPr>
        <w:t xml:space="preserve"> </w:t>
      </w:r>
      <w:r w:rsidRPr="006E28E9">
        <w:rPr>
          <w:rFonts w:hint="cs"/>
          <w:rtl/>
        </w:rPr>
        <w:t>[</w:t>
      </w:r>
      <w:r w:rsidRPr="006E28E9">
        <w:rPr>
          <w:rtl/>
        </w:rPr>
        <w:t>أي المُخَلَّط في أفكاره</w:t>
      </w:r>
      <w:r w:rsidRPr="006E28E9">
        <w:rPr>
          <w:rFonts w:hint="cs"/>
          <w:rtl/>
        </w:rPr>
        <w:t>]</w:t>
      </w:r>
      <w:r w:rsidRPr="006E28E9">
        <w:rPr>
          <w:rtl/>
        </w:rPr>
        <w:t xml:space="preserve">». ثم ذكر الكاتب أن كثيرًا من علماء </w:t>
      </w:r>
      <w:r w:rsidRPr="006E28E9">
        <w:rPr>
          <w:rFonts w:hint="cs"/>
          <w:rtl/>
        </w:rPr>
        <w:t xml:space="preserve">الدين في </w:t>
      </w:r>
      <w:r w:rsidRPr="006E28E9">
        <w:rPr>
          <w:rtl/>
        </w:rPr>
        <w:t>إيران والعراق كانوا ضدَّه وكانوا يُخطِّئون أفكاره، وذكر قائمة</w:t>
      </w:r>
      <w:r w:rsidRPr="006E28E9">
        <w:rPr>
          <w:rFonts w:hint="cs"/>
          <w:rtl/>
        </w:rPr>
        <w:t>ً</w:t>
      </w:r>
      <w:r w:rsidRPr="006E28E9">
        <w:rPr>
          <w:rtl/>
        </w:rPr>
        <w:t xml:space="preserve"> </w:t>
      </w:r>
      <w:r w:rsidRPr="006E28E9">
        <w:rPr>
          <w:rFonts w:hint="cs"/>
          <w:rtl/>
        </w:rPr>
        <w:t>ل</w:t>
      </w:r>
      <w:r w:rsidRPr="006E28E9">
        <w:rPr>
          <w:rtl/>
        </w:rPr>
        <w:t>لكتب التي كُتِبَت في الردّ عليه (</w:t>
      </w:r>
      <w:r>
        <w:rPr>
          <w:rStyle w:val="Char9"/>
          <w:sz w:val="20"/>
          <w:szCs w:val="20"/>
          <w:rtl/>
        </w:rPr>
        <w:t>ک</w:t>
      </w:r>
      <w:r w:rsidRPr="008C7124">
        <w:rPr>
          <w:rStyle w:val="Char9"/>
          <w:sz w:val="20"/>
          <w:szCs w:val="20"/>
          <w:rtl/>
        </w:rPr>
        <w:t>لمه</w:t>
      </w:r>
      <w:r w:rsidRPr="006E28E9">
        <w:rPr>
          <w:rFonts w:ascii="Times New Roman" w:hAnsi="Times New Roman" w:cs="Times New Roman" w:hint="cs"/>
          <w:b/>
          <w:bCs/>
          <w:rtl/>
        </w:rPr>
        <w:t>‌</w:t>
      </w:r>
      <w:r w:rsidRPr="008C7124">
        <w:rPr>
          <w:rStyle w:val="Char9"/>
          <w:rFonts w:hint="cs"/>
          <w:sz w:val="20"/>
          <w:szCs w:val="20"/>
          <w:rtl/>
        </w:rPr>
        <w:t>اى</w:t>
      </w:r>
      <w:r w:rsidRPr="008C7124">
        <w:rPr>
          <w:rStyle w:val="Char9"/>
          <w:sz w:val="20"/>
          <w:szCs w:val="20"/>
          <w:rtl/>
        </w:rPr>
        <w:t xml:space="preserve"> </w:t>
      </w:r>
      <w:r w:rsidRPr="008C7124">
        <w:rPr>
          <w:rStyle w:val="Char9"/>
          <w:rFonts w:hint="cs"/>
          <w:sz w:val="20"/>
          <w:szCs w:val="20"/>
          <w:rtl/>
        </w:rPr>
        <w:t>از</w:t>
      </w:r>
      <w:r w:rsidRPr="008C7124">
        <w:rPr>
          <w:rStyle w:val="Char9"/>
          <w:sz w:val="20"/>
          <w:szCs w:val="20"/>
          <w:rtl/>
        </w:rPr>
        <w:t xml:space="preserve"> </w:t>
      </w:r>
      <w:r w:rsidRPr="008C7124">
        <w:rPr>
          <w:rStyle w:val="Char9"/>
          <w:rFonts w:hint="cs"/>
          <w:sz w:val="20"/>
          <w:szCs w:val="20"/>
          <w:rtl/>
        </w:rPr>
        <w:t>هزار</w:t>
      </w:r>
      <w:r w:rsidRPr="006E28E9">
        <w:rPr>
          <w:rtl/>
        </w:rPr>
        <w:t xml:space="preserve">، ص 6). وفي مقابل ذلك عندما أراد زعيم شيخية كرمان أن يزور </w:t>
      </w:r>
      <w:r w:rsidRPr="006E28E9">
        <w:rPr>
          <w:rFonts w:hint="cs"/>
          <w:rtl/>
        </w:rPr>
        <w:t>[</w:t>
      </w:r>
      <w:r w:rsidRPr="006E28E9">
        <w:rPr>
          <w:rtl/>
        </w:rPr>
        <w:t>ضريح الإمامين الكاظم والجواد في</w:t>
      </w:r>
      <w:r w:rsidRPr="006E28E9">
        <w:rPr>
          <w:rFonts w:hint="cs"/>
          <w:rtl/>
        </w:rPr>
        <w:t>]</w:t>
      </w:r>
      <w:r w:rsidRPr="006E28E9">
        <w:rPr>
          <w:rtl/>
        </w:rPr>
        <w:t xml:space="preserve"> الكاظمين، وصفه الشيخ ال</w:t>
      </w:r>
      <w:r w:rsidRPr="006E28E9">
        <w:rPr>
          <w:rFonts w:hint="cs"/>
          <w:rtl/>
        </w:rPr>
        <w:t>خ</w:t>
      </w:r>
      <w:r w:rsidRPr="006E28E9">
        <w:rPr>
          <w:rtl/>
        </w:rPr>
        <w:t>الصي بأنه رجل نجس، فلم يجرؤ [زعيم الشيخية في كرمان] الميرزا أبو القاسم خان إبراهيمي على الذهاب لزيارة الكاظمين لما كان للخالصي من نفوذ فيها. (</w:t>
      </w:r>
      <w:r w:rsidRPr="008C7124">
        <w:rPr>
          <w:rStyle w:val="Char9"/>
          <w:sz w:val="20"/>
          <w:szCs w:val="20"/>
          <w:rtl/>
        </w:rPr>
        <w:t>خاطرات حج</w:t>
      </w:r>
      <w:r>
        <w:rPr>
          <w:rStyle w:val="Char9"/>
          <w:sz w:val="20"/>
          <w:szCs w:val="20"/>
          <w:rtl/>
        </w:rPr>
        <w:t>ۀ</w:t>
      </w:r>
      <w:r w:rsidRPr="008C7124">
        <w:rPr>
          <w:rStyle w:val="Char9"/>
          <w:sz w:val="20"/>
          <w:szCs w:val="20"/>
          <w:rtl/>
        </w:rPr>
        <w:t xml:space="preserve"> الإسلام سمام</w:t>
      </w:r>
      <w:r>
        <w:rPr>
          <w:rStyle w:val="Char9"/>
          <w:sz w:val="20"/>
          <w:szCs w:val="20"/>
          <w:rtl/>
        </w:rPr>
        <w:t>ی</w:t>
      </w:r>
      <w:r w:rsidRPr="006E28E9">
        <w:rPr>
          <w:rtl/>
        </w:rPr>
        <w:t>، ص 85 - 86). وقد طُبِعت في ذلك العهد كتب أخرى في الردّ على الشيخية، منها: «</w:t>
      </w:r>
      <w:r w:rsidRPr="008C7124">
        <w:rPr>
          <w:rStyle w:val="Char9"/>
          <w:sz w:val="20"/>
          <w:szCs w:val="20"/>
          <w:rtl/>
        </w:rPr>
        <w:t>مذا</w:t>
      </w:r>
      <w:r>
        <w:rPr>
          <w:rStyle w:val="Char9"/>
          <w:sz w:val="20"/>
          <w:szCs w:val="20"/>
          <w:rtl/>
        </w:rPr>
        <w:t>ک</w:t>
      </w:r>
      <w:r w:rsidRPr="008C7124">
        <w:rPr>
          <w:rStyle w:val="Char9"/>
          <w:sz w:val="20"/>
          <w:szCs w:val="20"/>
          <w:rtl/>
        </w:rPr>
        <w:t>رات م</w:t>
      </w:r>
      <w:r>
        <w:rPr>
          <w:rStyle w:val="Char9"/>
          <w:sz w:val="20"/>
          <w:szCs w:val="20"/>
          <w:rtl/>
        </w:rPr>
        <w:t>ی</w:t>
      </w:r>
      <w:r w:rsidRPr="008C7124">
        <w:rPr>
          <w:rStyle w:val="Char9"/>
          <w:sz w:val="20"/>
          <w:szCs w:val="20"/>
          <w:rtl/>
        </w:rPr>
        <w:t>زبان وم</w:t>
      </w:r>
      <w:r>
        <w:rPr>
          <w:rStyle w:val="Char9"/>
          <w:sz w:val="20"/>
          <w:szCs w:val="20"/>
          <w:rtl/>
        </w:rPr>
        <w:t>ی</w:t>
      </w:r>
      <w:r w:rsidRPr="008C7124">
        <w:rPr>
          <w:rStyle w:val="Char9"/>
          <w:sz w:val="20"/>
          <w:szCs w:val="20"/>
          <w:rtl/>
        </w:rPr>
        <w:t>همان</w:t>
      </w:r>
      <w:r w:rsidRPr="006E28E9">
        <w:rPr>
          <w:rtl/>
        </w:rPr>
        <w:t>» [مفاوضات المُضيف والضيف] للشيخ محمد غروي المحلاتي (مؤلف كتاب «</w:t>
      </w:r>
      <w:r w:rsidRPr="008C7124">
        <w:rPr>
          <w:rStyle w:val="Char9"/>
          <w:sz w:val="20"/>
          <w:szCs w:val="20"/>
          <w:rtl/>
        </w:rPr>
        <w:t xml:space="preserve">گفتار خوش </w:t>
      </w:r>
      <w:r>
        <w:rPr>
          <w:rStyle w:val="Char9"/>
          <w:sz w:val="20"/>
          <w:szCs w:val="20"/>
          <w:rtl/>
        </w:rPr>
        <w:t>ی</w:t>
      </w:r>
      <w:r w:rsidRPr="008C7124">
        <w:rPr>
          <w:rStyle w:val="Char9"/>
          <w:sz w:val="20"/>
          <w:szCs w:val="20"/>
          <w:rtl/>
        </w:rPr>
        <w:t>ارقل</w:t>
      </w:r>
      <w:r>
        <w:rPr>
          <w:rStyle w:val="Char9"/>
          <w:sz w:val="20"/>
          <w:szCs w:val="20"/>
          <w:rtl/>
        </w:rPr>
        <w:t>ی</w:t>
      </w:r>
      <w:r w:rsidRPr="006E28E9">
        <w:rPr>
          <w:rtl/>
        </w:rPr>
        <w:t xml:space="preserve">» [الأقوال الطيبة لـ"يارقلي"]). وقد قام الشهيد فضل الله المحلاتي بطباعة كتاب </w:t>
      </w:r>
      <w:r w:rsidRPr="006E28E9">
        <w:rPr>
          <w:rFonts w:hint="cs"/>
          <w:rtl/>
        </w:rPr>
        <w:t xml:space="preserve">المفاوضات ذاك </w:t>
      </w:r>
      <w:r w:rsidRPr="006E28E9">
        <w:rPr>
          <w:rtl/>
        </w:rPr>
        <w:t>في مطبعة الحكمة في قم</w:t>
      </w:r>
      <w:r w:rsidRPr="006E28E9">
        <w:rPr>
          <w:rFonts w:hint="cs"/>
          <w:rtl/>
        </w:rPr>
        <w:t>،</w:t>
      </w:r>
      <w:r w:rsidRPr="006E28E9">
        <w:rPr>
          <w:rtl/>
        </w:rPr>
        <w:t xml:space="preserve"> سنة 1329 هـ.ش [1951م].</w:t>
      </w:r>
    </w:p>
  </w:footnote>
  <w:footnote w:id="27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أوردنا فهرسًا كاملاً لمؤلفاته في مقدمة رسالة «ا</w:t>
      </w:r>
      <w:r w:rsidRPr="006E28E9">
        <w:rPr>
          <w:rStyle w:val="FootnoteReference"/>
          <w:b/>
          <w:bCs/>
          <w:vertAlign w:val="baseline"/>
          <w:rtl/>
        </w:rPr>
        <w:t>لحجاب</w:t>
      </w:r>
      <w:r w:rsidRPr="006E28E9">
        <w:rPr>
          <w:rStyle w:val="FootnoteReference"/>
          <w:vertAlign w:val="baseline"/>
          <w:rtl/>
        </w:rPr>
        <w:t>» له، التي طُبِعَت ضمن المجلد الثاني لكتابنا «</w:t>
      </w:r>
      <w:r w:rsidRPr="006E28E9">
        <w:rPr>
          <w:rStyle w:val="FootnoteReference"/>
          <w:b/>
          <w:bCs/>
          <w:vertAlign w:val="baseline"/>
          <w:rtl/>
        </w:rPr>
        <w:t>رسائل حجابية</w:t>
      </w:r>
      <w:r w:rsidRPr="006E28E9">
        <w:rPr>
          <w:rStyle w:val="FootnoteReference"/>
          <w:vertAlign w:val="baseline"/>
          <w:rtl/>
        </w:rPr>
        <w:t>».</w:t>
      </w:r>
    </w:p>
  </w:footnote>
  <w:footnote w:id="27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وقع اشتباك واقتتال في إحدى الجلسات بين معارضي الشيخ الخالصي ومؤيديه أدى إلى مقتل عدد من الأشخاص. وكان السيد سمامي (</w:t>
      </w:r>
      <w:r w:rsidRPr="006E28E9">
        <w:rPr>
          <w:b/>
          <w:bCs/>
          <w:rtl/>
        </w:rPr>
        <w:t>خاطرات</w:t>
      </w:r>
      <w:r w:rsidRPr="006E28E9">
        <w:rPr>
          <w:rtl/>
        </w:rPr>
        <w:t>، ص 84 - 85) نفسه حاضراً في ذلك المجلس.</w:t>
      </w:r>
    </w:p>
  </w:footnote>
  <w:footnote w:id="277">
    <w:p w:rsidR="008C7124" w:rsidRPr="006E28E9" w:rsidRDefault="008C7124" w:rsidP="001809AD">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 xml:space="preserve">منها أن شخصًا روى الرواية التي تقول إنه لمَّا أُتي النبي </w:t>
      </w:r>
      <w:r w:rsidRPr="001809AD">
        <w:rPr>
          <w:rFonts w:ascii="Abo-thar" w:hAnsi="Abo-thar" w:cs="CTraditional Arabic"/>
          <w:rtl/>
          <w:lang w:bidi="fa-IR"/>
        </w:rPr>
        <w:t>ص</w:t>
      </w:r>
      <w:r w:rsidRPr="006E28E9">
        <w:rPr>
          <w:rtl/>
        </w:rPr>
        <w:t xml:space="preserve"> بعليٍّ وهو في القِماط (قنداق الطفل)كان عليٌّ يقرأ القرآن والتوراة والإنجيل. فقال الخالصي عند ذلك</w:t>
      </w:r>
      <w:r w:rsidRPr="006E28E9">
        <w:rPr>
          <w:rFonts w:hint="cs"/>
          <w:rtl/>
        </w:rPr>
        <w:t>:</w:t>
      </w:r>
      <w:r w:rsidRPr="006E28E9">
        <w:rPr>
          <w:rtl/>
        </w:rPr>
        <w:t xml:space="preserve"> إن هذه الرواية تتعارض مع القرآن الذي خاطب حضرة النبي </w:t>
      </w:r>
      <w:r w:rsidRPr="001809AD">
        <w:rPr>
          <w:rFonts w:ascii="Abo-thar" w:hAnsi="Abo-thar" w:cs="CTraditional Arabic"/>
          <w:rtl/>
          <w:lang w:bidi="fa-IR"/>
        </w:rPr>
        <w:t>ص</w:t>
      </w:r>
      <w:r w:rsidRPr="006E28E9">
        <w:rPr>
          <w:rFonts w:hint="cs"/>
          <w:rtl/>
        </w:rPr>
        <w:t xml:space="preserve"> </w:t>
      </w:r>
      <w:r w:rsidRPr="006E28E9">
        <w:rPr>
          <w:rtl/>
        </w:rPr>
        <w:t>بقوله:</w:t>
      </w:r>
      <w:r>
        <w:rPr>
          <w:rFonts w:hint="cs"/>
          <w:rtl/>
        </w:rPr>
        <w:t xml:space="preserve"> </w:t>
      </w:r>
      <w:r>
        <w:rPr>
          <w:rFonts w:cs="CTraditional Arabic" w:hint="cs"/>
          <w:rtl/>
        </w:rPr>
        <w:t>﴿</w:t>
      </w:r>
      <w:r w:rsidRPr="001809AD">
        <w:rPr>
          <w:rStyle w:val="Char1"/>
          <w:rFonts w:hint="cs"/>
          <w:sz w:val="24"/>
          <w:szCs w:val="24"/>
          <w:rtl/>
        </w:rPr>
        <w:t>نَحۡنُ</w:t>
      </w:r>
      <w:r w:rsidRPr="001809AD">
        <w:rPr>
          <w:rStyle w:val="Char1"/>
          <w:sz w:val="24"/>
          <w:szCs w:val="24"/>
          <w:rtl/>
        </w:rPr>
        <w:t xml:space="preserve"> </w:t>
      </w:r>
      <w:r w:rsidRPr="001809AD">
        <w:rPr>
          <w:rStyle w:val="Char1"/>
          <w:rFonts w:hint="cs"/>
          <w:sz w:val="24"/>
          <w:szCs w:val="24"/>
          <w:rtl/>
        </w:rPr>
        <w:t>نَقُصُّ</w:t>
      </w:r>
      <w:r w:rsidRPr="001809AD">
        <w:rPr>
          <w:rStyle w:val="Char1"/>
          <w:sz w:val="24"/>
          <w:szCs w:val="24"/>
          <w:rtl/>
        </w:rPr>
        <w:t xml:space="preserve"> </w:t>
      </w:r>
      <w:r w:rsidRPr="001809AD">
        <w:rPr>
          <w:rStyle w:val="Char1"/>
          <w:rFonts w:hint="cs"/>
          <w:sz w:val="24"/>
          <w:szCs w:val="24"/>
          <w:rtl/>
        </w:rPr>
        <w:t>عَلَيۡكَ</w:t>
      </w:r>
      <w:r w:rsidRPr="001809AD">
        <w:rPr>
          <w:rStyle w:val="Char1"/>
          <w:sz w:val="24"/>
          <w:szCs w:val="24"/>
          <w:rtl/>
        </w:rPr>
        <w:t xml:space="preserve"> </w:t>
      </w:r>
      <w:r w:rsidRPr="001809AD">
        <w:rPr>
          <w:rStyle w:val="Char1"/>
          <w:rFonts w:hint="cs"/>
          <w:sz w:val="24"/>
          <w:szCs w:val="24"/>
          <w:rtl/>
        </w:rPr>
        <w:t>أَحۡسَنَ</w:t>
      </w:r>
      <w:r w:rsidRPr="001809AD">
        <w:rPr>
          <w:rStyle w:val="Char1"/>
          <w:sz w:val="24"/>
          <w:szCs w:val="24"/>
          <w:rtl/>
        </w:rPr>
        <w:t xml:space="preserve"> </w:t>
      </w:r>
      <w:r w:rsidRPr="001809AD">
        <w:rPr>
          <w:rStyle w:val="Char1"/>
          <w:rFonts w:hint="cs"/>
          <w:sz w:val="24"/>
          <w:szCs w:val="24"/>
          <w:rtl/>
        </w:rPr>
        <w:t>ٱلۡقَصَصِ</w:t>
      </w:r>
      <w:r w:rsidRPr="001809AD">
        <w:rPr>
          <w:rStyle w:val="Char1"/>
          <w:sz w:val="24"/>
          <w:szCs w:val="24"/>
          <w:rtl/>
        </w:rPr>
        <w:t xml:space="preserve"> </w:t>
      </w:r>
      <w:r w:rsidRPr="001809AD">
        <w:rPr>
          <w:rStyle w:val="Char1"/>
          <w:rFonts w:hint="cs"/>
          <w:sz w:val="24"/>
          <w:szCs w:val="24"/>
          <w:rtl/>
        </w:rPr>
        <w:t>بِمَآ</w:t>
      </w:r>
      <w:r w:rsidRPr="001809AD">
        <w:rPr>
          <w:rStyle w:val="Char1"/>
          <w:sz w:val="24"/>
          <w:szCs w:val="24"/>
          <w:rtl/>
        </w:rPr>
        <w:t xml:space="preserve"> </w:t>
      </w:r>
      <w:r w:rsidRPr="001809AD">
        <w:rPr>
          <w:rStyle w:val="Char1"/>
          <w:rFonts w:hint="cs"/>
          <w:sz w:val="24"/>
          <w:szCs w:val="24"/>
          <w:rtl/>
        </w:rPr>
        <w:t>أَوۡحَيۡنَآ</w:t>
      </w:r>
      <w:r w:rsidRPr="001809AD">
        <w:rPr>
          <w:rStyle w:val="Char1"/>
          <w:sz w:val="24"/>
          <w:szCs w:val="24"/>
          <w:rtl/>
        </w:rPr>
        <w:t xml:space="preserve"> </w:t>
      </w:r>
      <w:r w:rsidRPr="001809AD">
        <w:rPr>
          <w:rStyle w:val="Char1"/>
          <w:rFonts w:hint="cs"/>
          <w:sz w:val="24"/>
          <w:szCs w:val="24"/>
          <w:rtl/>
        </w:rPr>
        <w:t>إِلَيۡكَ</w:t>
      </w:r>
      <w:r w:rsidRPr="001809AD">
        <w:rPr>
          <w:rStyle w:val="Char1"/>
          <w:sz w:val="24"/>
          <w:szCs w:val="24"/>
          <w:rtl/>
        </w:rPr>
        <w:t xml:space="preserve"> </w:t>
      </w:r>
      <w:r w:rsidRPr="001809AD">
        <w:rPr>
          <w:rStyle w:val="Char1"/>
          <w:rFonts w:hint="cs"/>
          <w:sz w:val="24"/>
          <w:szCs w:val="24"/>
          <w:rtl/>
        </w:rPr>
        <w:t>هَٰذَا</w:t>
      </w:r>
      <w:r w:rsidRPr="001809AD">
        <w:rPr>
          <w:rStyle w:val="Char1"/>
          <w:sz w:val="24"/>
          <w:szCs w:val="24"/>
          <w:rtl/>
        </w:rPr>
        <w:t xml:space="preserve"> </w:t>
      </w:r>
      <w:r w:rsidRPr="001809AD">
        <w:rPr>
          <w:rStyle w:val="Char1"/>
          <w:rFonts w:hint="cs"/>
          <w:sz w:val="24"/>
          <w:szCs w:val="24"/>
          <w:rtl/>
        </w:rPr>
        <w:t>ٱلۡقُرۡءَانَ</w:t>
      </w:r>
      <w:r w:rsidRPr="001809AD">
        <w:rPr>
          <w:rStyle w:val="Char1"/>
          <w:sz w:val="24"/>
          <w:szCs w:val="24"/>
          <w:rtl/>
        </w:rPr>
        <w:t xml:space="preserve"> </w:t>
      </w:r>
      <w:r w:rsidRPr="001809AD">
        <w:rPr>
          <w:rStyle w:val="Char1"/>
          <w:rFonts w:hint="cs"/>
          <w:sz w:val="24"/>
          <w:szCs w:val="24"/>
          <w:rtl/>
        </w:rPr>
        <w:t>وَإِن</w:t>
      </w:r>
      <w:r w:rsidRPr="001809AD">
        <w:rPr>
          <w:rStyle w:val="Char1"/>
          <w:sz w:val="24"/>
          <w:szCs w:val="24"/>
          <w:rtl/>
        </w:rPr>
        <w:t xml:space="preserve"> </w:t>
      </w:r>
      <w:r w:rsidRPr="001809AD">
        <w:rPr>
          <w:rStyle w:val="Char1"/>
          <w:rFonts w:hint="cs"/>
          <w:sz w:val="24"/>
          <w:szCs w:val="24"/>
          <w:rtl/>
        </w:rPr>
        <w:t>كُنتَ</w:t>
      </w:r>
      <w:r w:rsidRPr="001809AD">
        <w:rPr>
          <w:rStyle w:val="Char1"/>
          <w:sz w:val="24"/>
          <w:szCs w:val="24"/>
          <w:rtl/>
        </w:rPr>
        <w:t xml:space="preserve"> </w:t>
      </w:r>
      <w:r w:rsidRPr="001809AD">
        <w:rPr>
          <w:rStyle w:val="Char1"/>
          <w:rFonts w:hint="cs"/>
          <w:sz w:val="24"/>
          <w:szCs w:val="24"/>
          <w:rtl/>
        </w:rPr>
        <w:t>مِن</w:t>
      </w:r>
      <w:r w:rsidRPr="001809AD">
        <w:rPr>
          <w:rStyle w:val="Char1"/>
          <w:sz w:val="24"/>
          <w:szCs w:val="24"/>
          <w:rtl/>
        </w:rPr>
        <w:t xml:space="preserve"> </w:t>
      </w:r>
      <w:r w:rsidRPr="001809AD">
        <w:rPr>
          <w:rStyle w:val="Char1"/>
          <w:rFonts w:hint="cs"/>
          <w:sz w:val="24"/>
          <w:szCs w:val="24"/>
          <w:rtl/>
        </w:rPr>
        <w:t>قَبۡلِهِۦ</w:t>
      </w:r>
      <w:r w:rsidRPr="001809AD">
        <w:rPr>
          <w:rStyle w:val="Char1"/>
          <w:sz w:val="24"/>
          <w:szCs w:val="24"/>
          <w:rtl/>
        </w:rPr>
        <w:t xml:space="preserve"> </w:t>
      </w:r>
      <w:r w:rsidRPr="001809AD">
        <w:rPr>
          <w:rStyle w:val="Char1"/>
          <w:rFonts w:hint="cs"/>
          <w:sz w:val="24"/>
          <w:szCs w:val="24"/>
          <w:rtl/>
        </w:rPr>
        <w:t>لَمِنَ</w:t>
      </w:r>
      <w:r w:rsidRPr="001809AD">
        <w:rPr>
          <w:rStyle w:val="Char1"/>
          <w:sz w:val="24"/>
          <w:szCs w:val="24"/>
          <w:rtl/>
        </w:rPr>
        <w:t xml:space="preserve"> </w:t>
      </w:r>
      <w:r w:rsidRPr="001809AD">
        <w:rPr>
          <w:rStyle w:val="Char1"/>
          <w:rFonts w:hint="cs"/>
          <w:sz w:val="24"/>
          <w:szCs w:val="24"/>
          <w:rtl/>
        </w:rPr>
        <w:t>ٱلۡغَٰفِلِينَ</w:t>
      </w:r>
      <w:r w:rsidRPr="001809AD">
        <w:rPr>
          <w:rStyle w:val="Char1"/>
          <w:sz w:val="24"/>
          <w:szCs w:val="24"/>
          <w:rtl/>
        </w:rPr>
        <w:t xml:space="preserve"> </w:t>
      </w:r>
      <w:r w:rsidRPr="001809AD">
        <w:rPr>
          <w:rStyle w:val="Char1"/>
          <w:rFonts w:hint="cs"/>
          <w:sz w:val="24"/>
          <w:szCs w:val="24"/>
          <w:rtl/>
        </w:rPr>
        <w:t>٣</w:t>
      </w:r>
      <w:r>
        <w:rPr>
          <w:rFonts w:ascii="Traditional Arabic" w:hAnsi="Traditional Arabic" w:cs="Traditional Arabic"/>
          <w:rtl/>
        </w:rPr>
        <w:t>﴾</w:t>
      </w:r>
      <w:r w:rsidRPr="006E28E9">
        <w:rPr>
          <w:rtl/>
        </w:rPr>
        <w:t xml:space="preserve"> [يوسف: 3].</w:t>
      </w:r>
      <w:r w:rsidRPr="006E28E9">
        <w:rPr>
          <w:rFonts w:hint="cs"/>
          <w:rtl/>
        </w:rPr>
        <w:t xml:space="preserve"> </w:t>
      </w:r>
    </w:p>
  </w:footnote>
  <w:footnote w:id="278">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 xml:space="preserve">السيد أبو القاسم الكاشاني (1260 - 1340هـ.ش)/ () فقيه ومرجع شيعي إيراني </w:t>
      </w:r>
      <w:r w:rsidRPr="006E28E9">
        <w:rPr>
          <w:rFonts w:hint="cs"/>
          <w:rtl/>
        </w:rPr>
        <w:t xml:space="preserve">بارز ومناضل سياسي قاد نضالاً ضد نظام الشاه في أربعينيات وخمسينيات القرن الميلادي الماضي ودعم حركة الدكتور مصدق في تأميم صناعة النفط في إيران، وقام الشاه فيما بعد بسنجه ثم </w:t>
      </w:r>
      <w:r w:rsidRPr="006E28E9">
        <w:rPr>
          <w:rFonts w:hint="cs"/>
          <w:rtl/>
          <w:lang w:bidi="ar-SY"/>
        </w:rPr>
        <w:t xml:space="preserve">نفاه </w:t>
      </w:r>
      <w:r w:rsidRPr="006E28E9">
        <w:rPr>
          <w:rFonts w:hint="cs"/>
          <w:rtl/>
        </w:rPr>
        <w:t>إلى لبنان ليعود بعد فترة من الزمن إلى طهران إلى أن وافاه الأجل فيها سنة 1961 م بعد 74 عاماً قضاها في العلم والجهاد و ووري الثرى في جوار السيد عبد العظيم الحسني جنوب طهران. عُرِف بانفتاحه الفكري واهتمامه بقضايا العالم الإسلامي والوحدة الإسلامية. (المُتَرْجِمُ).</w:t>
      </w:r>
    </w:p>
  </w:footnote>
  <w:footnote w:id="27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هذا طبقاً لما ذكره قلمداران نفسه في كتابه </w:t>
      </w:r>
      <w:r w:rsidRPr="008C7124">
        <w:rPr>
          <w:rStyle w:val="Char9"/>
          <w:rFonts w:hint="cs"/>
          <w:sz w:val="20"/>
          <w:szCs w:val="20"/>
          <w:rtl/>
        </w:rPr>
        <w:t>ح</w:t>
      </w:r>
      <w:r>
        <w:rPr>
          <w:rStyle w:val="Char9"/>
          <w:rFonts w:hint="cs"/>
          <w:sz w:val="20"/>
          <w:szCs w:val="20"/>
          <w:rtl/>
        </w:rPr>
        <w:t>ک</w:t>
      </w:r>
      <w:r w:rsidRPr="008C7124">
        <w:rPr>
          <w:rStyle w:val="Char9"/>
          <w:rFonts w:hint="cs"/>
          <w:sz w:val="20"/>
          <w:szCs w:val="20"/>
          <w:rtl/>
        </w:rPr>
        <w:t xml:space="preserve">ومت در اسلام </w:t>
      </w:r>
      <w:r w:rsidRPr="006E28E9">
        <w:rPr>
          <w:rStyle w:val="FootnoteReference"/>
          <w:rFonts w:hint="cs"/>
          <w:vertAlign w:val="baseline"/>
          <w:rtl/>
        </w:rPr>
        <w:t>[الحكومة في الإسلام]، ج 2، ص 143.</w:t>
      </w:r>
      <w:r w:rsidRPr="006E28E9">
        <w:rPr>
          <w:rFonts w:hint="cs"/>
          <w:rtl/>
        </w:rPr>
        <w:t xml:space="preserve"> </w:t>
      </w:r>
      <w:r w:rsidRPr="006E28E9">
        <w:rPr>
          <w:rStyle w:val="FootnoteReference"/>
          <w:rFonts w:hint="cs"/>
          <w:vertAlign w:val="baseline"/>
          <w:rtl/>
        </w:rPr>
        <w:t xml:space="preserve">إلا أن بعض المصادر ذكرت أن تاريخ ولادته 1291 هـ.ش. </w:t>
      </w:r>
      <w:r w:rsidRPr="006E28E9">
        <w:rPr>
          <w:rFonts w:hint="cs"/>
          <w:rtl/>
        </w:rPr>
        <w:t>[1912م].</w:t>
      </w:r>
      <w:r w:rsidRPr="006E28E9">
        <w:rPr>
          <w:rStyle w:val="FootnoteReference"/>
          <w:rFonts w:hint="cs"/>
          <w:vertAlign w:val="baseline"/>
          <w:rtl/>
        </w:rPr>
        <w:t xml:space="preserve"> </w:t>
      </w:r>
    </w:p>
  </w:footnote>
  <w:footnote w:id="280">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انظر: حيدر علي قلمداران</w:t>
      </w:r>
      <w:r w:rsidRPr="008C7124">
        <w:rPr>
          <w:rStyle w:val="Char9"/>
          <w:rFonts w:hint="cs"/>
          <w:sz w:val="20"/>
          <w:szCs w:val="20"/>
          <w:rtl/>
        </w:rPr>
        <w:t>، ح</w:t>
      </w:r>
      <w:r>
        <w:rPr>
          <w:rStyle w:val="Char9"/>
          <w:rFonts w:hint="cs"/>
          <w:sz w:val="20"/>
          <w:szCs w:val="20"/>
          <w:rtl/>
        </w:rPr>
        <w:t>ک</w:t>
      </w:r>
      <w:r w:rsidRPr="008C7124">
        <w:rPr>
          <w:rStyle w:val="Char9"/>
          <w:rFonts w:hint="cs"/>
          <w:sz w:val="20"/>
          <w:szCs w:val="20"/>
          <w:rtl/>
        </w:rPr>
        <w:t>ومت در اسلام</w:t>
      </w:r>
      <w:r w:rsidRPr="006E28E9">
        <w:rPr>
          <w:rStyle w:val="FootnoteReference"/>
          <w:rFonts w:hint="cs"/>
          <w:vertAlign w:val="baseline"/>
          <w:rtl/>
        </w:rPr>
        <w:t xml:space="preserve"> [الحكومة في الإسلام]، ج 2، ص 144 - 145، و175. </w:t>
      </w:r>
    </w:p>
  </w:footnote>
  <w:footnote w:id="28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هذا في التقويم الإيران</w:t>
      </w:r>
      <w:r w:rsidRPr="006E28E9">
        <w:rPr>
          <w:rFonts w:hint="cs"/>
          <w:rtl/>
        </w:rPr>
        <w:t>ي</w:t>
      </w:r>
      <w:r w:rsidRPr="006E28E9">
        <w:rPr>
          <w:rStyle w:val="FootnoteReference"/>
          <w:rFonts w:hint="cs"/>
          <w:vertAlign w:val="baseline"/>
          <w:rtl/>
        </w:rPr>
        <w:t xml:space="preserve"> أي ع</w:t>
      </w:r>
      <w:r w:rsidRPr="006E28E9">
        <w:rPr>
          <w:rFonts w:hint="cs"/>
          <w:rtl/>
        </w:rPr>
        <w:t xml:space="preserve">شرينيات </w:t>
      </w:r>
      <w:r w:rsidRPr="006E28E9">
        <w:rPr>
          <w:rStyle w:val="FootnoteReference"/>
          <w:rFonts w:hint="cs"/>
          <w:vertAlign w:val="baseline"/>
          <w:rtl/>
        </w:rPr>
        <w:t>القرن الرابع عشر الهجري الشمس</w:t>
      </w:r>
      <w:r w:rsidRPr="006E28E9">
        <w:rPr>
          <w:rFonts w:hint="cs"/>
          <w:rtl/>
        </w:rPr>
        <w:t>ي</w:t>
      </w:r>
      <w:r w:rsidRPr="006E28E9">
        <w:rPr>
          <w:rStyle w:val="FootnoteReference"/>
          <w:rFonts w:hint="cs"/>
          <w:vertAlign w:val="baseline"/>
          <w:rtl/>
        </w:rPr>
        <w:t>، وهذا يوافق خمسينيات القرن العشرين الميلادي. (المُتَرْجِمُ)</w:t>
      </w:r>
    </w:p>
  </w:footnote>
  <w:footnote w:id="28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ومن جملة ذلك أنه نشر في العدد 30 من تلك المجلة مقالًا تحت عنوان</w:t>
      </w:r>
      <w:r w:rsidRPr="006E28E9">
        <w:rPr>
          <w:rFonts w:hint="cs"/>
          <w:rtl/>
        </w:rPr>
        <w:t>:</w:t>
      </w:r>
      <w:r w:rsidRPr="006E28E9">
        <w:rPr>
          <w:rStyle w:val="FootnoteReference"/>
          <w:rFonts w:hint="cs"/>
          <w:vertAlign w:val="baseline"/>
          <w:rtl/>
        </w:rPr>
        <w:t xml:space="preserve"> «ألا يكذب </w:t>
      </w:r>
      <w:r w:rsidRPr="006E28E9">
        <w:rPr>
          <w:rFonts w:hint="cs"/>
          <w:rtl/>
        </w:rPr>
        <w:t>ال</w:t>
      </w:r>
      <w:r w:rsidRPr="006E28E9">
        <w:rPr>
          <w:rStyle w:val="FootnoteReference"/>
          <w:rFonts w:hint="cs"/>
          <w:vertAlign w:val="baseline"/>
          <w:rtl/>
        </w:rPr>
        <w:t>متدينون؟»</w:t>
      </w:r>
      <w:r w:rsidRPr="006E28E9">
        <w:rPr>
          <w:rFonts w:hint="cs"/>
          <w:rtl/>
        </w:rPr>
        <w:t>.</w:t>
      </w:r>
      <w:r w:rsidRPr="006E28E9">
        <w:rPr>
          <w:rStyle w:val="FootnoteReference"/>
          <w:rFonts w:hint="cs"/>
          <w:vertAlign w:val="baseline"/>
          <w:rtl/>
        </w:rPr>
        <w:t xml:space="preserve"> وقد انتقد هذه المقالة</w:t>
      </w:r>
      <w:r w:rsidRPr="006E28E9">
        <w:rPr>
          <w:rFonts w:hint="cs"/>
          <w:rtl/>
        </w:rPr>
        <w:t>َ لاحقًا</w:t>
      </w:r>
      <w:r w:rsidRPr="006E28E9">
        <w:rPr>
          <w:rStyle w:val="FootnoteReference"/>
          <w:rFonts w:hint="cs"/>
          <w:vertAlign w:val="baseline"/>
          <w:rtl/>
        </w:rPr>
        <w:t xml:space="preserve"> السيد</w:t>
      </w:r>
      <w:r w:rsidRPr="006E28E9">
        <w:rPr>
          <w:rFonts w:hint="cs"/>
          <w:rtl/>
        </w:rPr>
        <w:t>ُ</w:t>
      </w:r>
      <w:r w:rsidRPr="006E28E9">
        <w:rPr>
          <w:rStyle w:val="FootnoteReference"/>
          <w:rFonts w:hint="cs"/>
          <w:vertAlign w:val="baseline"/>
          <w:rtl/>
        </w:rPr>
        <w:t xml:space="preserve"> محي الدين أنواري في أحد الأعداد التالية للمجلة ذاتها. (العدد 35 ، ص 11). </w:t>
      </w:r>
    </w:p>
  </w:footnote>
  <w:footnote w:id="283">
    <w:p w:rsidR="008C7124" w:rsidRPr="006E28E9" w:rsidRDefault="008C7124" w:rsidP="001809AD">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 : </w:t>
      </w:r>
      <w:r w:rsidRPr="008C7124">
        <w:rPr>
          <w:rStyle w:val="Char9"/>
          <w:rFonts w:hint="cs"/>
          <w:sz w:val="20"/>
          <w:szCs w:val="20"/>
          <w:rtl/>
        </w:rPr>
        <w:t>مجل</w:t>
      </w:r>
      <w:r>
        <w:rPr>
          <w:rStyle w:val="Char9"/>
          <w:rFonts w:hint="cs"/>
          <w:sz w:val="20"/>
          <w:szCs w:val="20"/>
          <w:rtl/>
        </w:rPr>
        <w:t>ۀ</w:t>
      </w:r>
      <w:r w:rsidRPr="008C7124">
        <w:rPr>
          <w:rStyle w:val="Char9"/>
          <w:rFonts w:hint="cs"/>
          <w:sz w:val="20"/>
          <w:szCs w:val="20"/>
          <w:rtl/>
        </w:rPr>
        <w:t xml:space="preserve"> نور دانش</w:t>
      </w:r>
      <w:r w:rsidRPr="006E28E9">
        <w:rPr>
          <w:rStyle w:val="FootnoteReference"/>
          <w:rFonts w:hint="cs"/>
          <w:vertAlign w:val="baseline"/>
          <w:rtl/>
        </w:rPr>
        <w:t xml:space="preserve">، السنة الأولى، العدد 29، ص 804. وكانت له مقالات متعددة أخرى في الأعداد التالية للمجلة الأسبوعية </w:t>
      </w:r>
      <w:r w:rsidRPr="008C7124">
        <w:rPr>
          <w:rStyle w:val="Char9"/>
          <w:rFonts w:hint="cs"/>
          <w:sz w:val="20"/>
          <w:szCs w:val="20"/>
          <w:rtl/>
        </w:rPr>
        <w:t>نور دانش</w:t>
      </w:r>
      <w:r w:rsidRPr="006E28E9">
        <w:rPr>
          <w:rStyle w:val="FootnoteReference"/>
          <w:rFonts w:hint="cs"/>
          <w:vertAlign w:val="baseline"/>
          <w:rtl/>
        </w:rPr>
        <w:t xml:space="preserve"> وأحياناً في بعض المجلات السنوية. من جملة ذلك انظروا إلى مقالته في المجلة ذاتها، السنة الأولى، العدد 36، وإلى ا</w:t>
      </w:r>
      <w:r w:rsidRPr="006E28E9">
        <w:rPr>
          <w:rFonts w:hint="cs"/>
          <w:rtl/>
        </w:rPr>
        <w:t>لقصيدة التي</w:t>
      </w:r>
      <w:r w:rsidRPr="006E28E9">
        <w:rPr>
          <w:rStyle w:val="FootnoteReference"/>
          <w:rFonts w:hint="cs"/>
          <w:vertAlign w:val="baseline"/>
          <w:rtl/>
        </w:rPr>
        <w:t xml:space="preserve"> نظمها حول الآية</w:t>
      </w:r>
      <w:r>
        <w:rPr>
          <w:rFonts w:hint="cs"/>
          <w:rtl/>
        </w:rPr>
        <w:t xml:space="preserve">: </w:t>
      </w:r>
      <w:r>
        <w:rPr>
          <w:rFonts w:cs="CTraditional Arabic" w:hint="cs"/>
          <w:rtl/>
        </w:rPr>
        <w:t>﴿</w:t>
      </w:r>
      <w:r w:rsidRPr="001809AD">
        <w:rPr>
          <w:rStyle w:val="Char1"/>
          <w:rFonts w:hint="cs"/>
          <w:sz w:val="24"/>
          <w:szCs w:val="24"/>
          <w:rtl/>
        </w:rPr>
        <w:t>أَفَحَسِبۡتُمۡ</w:t>
      </w:r>
      <w:r w:rsidRPr="001809AD">
        <w:rPr>
          <w:rStyle w:val="Char1"/>
          <w:sz w:val="24"/>
          <w:szCs w:val="24"/>
          <w:rtl/>
        </w:rPr>
        <w:t xml:space="preserve"> </w:t>
      </w:r>
      <w:r w:rsidRPr="001809AD">
        <w:rPr>
          <w:rStyle w:val="Char1"/>
          <w:rFonts w:hint="cs"/>
          <w:sz w:val="24"/>
          <w:szCs w:val="24"/>
          <w:rtl/>
        </w:rPr>
        <w:t>أَنَّمَا</w:t>
      </w:r>
      <w:r w:rsidRPr="001809AD">
        <w:rPr>
          <w:rStyle w:val="Char1"/>
          <w:sz w:val="24"/>
          <w:szCs w:val="24"/>
          <w:rtl/>
        </w:rPr>
        <w:t xml:space="preserve"> </w:t>
      </w:r>
      <w:r w:rsidRPr="001809AD">
        <w:rPr>
          <w:rStyle w:val="Char1"/>
          <w:rFonts w:hint="cs"/>
          <w:sz w:val="24"/>
          <w:szCs w:val="24"/>
          <w:rtl/>
        </w:rPr>
        <w:t>خَلَقۡنَٰكُمۡ</w:t>
      </w:r>
      <w:r w:rsidRPr="001809AD">
        <w:rPr>
          <w:rStyle w:val="Char1"/>
          <w:sz w:val="24"/>
          <w:szCs w:val="24"/>
          <w:rtl/>
        </w:rPr>
        <w:t xml:space="preserve"> </w:t>
      </w:r>
      <w:r w:rsidRPr="001809AD">
        <w:rPr>
          <w:rStyle w:val="Char1"/>
          <w:rFonts w:hint="cs"/>
          <w:sz w:val="24"/>
          <w:szCs w:val="24"/>
          <w:rtl/>
        </w:rPr>
        <w:t>عَبَثٗا</w:t>
      </w:r>
      <w:r w:rsidRPr="001809AD">
        <w:rPr>
          <w:rStyle w:val="Char1"/>
          <w:sz w:val="24"/>
          <w:szCs w:val="24"/>
          <w:rtl/>
        </w:rPr>
        <w:t xml:space="preserve"> </w:t>
      </w:r>
      <w:r w:rsidRPr="001809AD">
        <w:rPr>
          <w:rStyle w:val="Char1"/>
          <w:rFonts w:hint="cs"/>
          <w:sz w:val="24"/>
          <w:szCs w:val="24"/>
          <w:rtl/>
        </w:rPr>
        <w:t>وَأَنَّكُمۡ</w:t>
      </w:r>
      <w:r w:rsidRPr="001809AD">
        <w:rPr>
          <w:rStyle w:val="Char1"/>
          <w:sz w:val="24"/>
          <w:szCs w:val="24"/>
          <w:rtl/>
        </w:rPr>
        <w:t xml:space="preserve"> </w:t>
      </w:r>
      <w:r w:rsidRPr="001809AD">
        <w:rPr>
          <w:rStyle w:val="Char1"/>
          <w:rFonts w:hint="cs"/>
          <w:sz w:val="24"/>
          <w:szCs w:val="24"/>
          <w:rtl/>
        </w:rPr>
        <w:t>إِلَيۡنَا</w:t>
      </w:r>
      <w:r w:rsidRPr="001809AD">
        <w:rPr>
          <w:rStyle w:val="Char1"/>
          <w:sz w:val="24"/>
          <w:szCs w:val="24"/>
          <w:rtl/>
        </w:rPr>
        <w:t xml:space="preserve"> </w:t>
      </w:r>
      <w:r w:rsidRPr="001809AD">
        <w:rPr>
          <w:rStyle w:val="Char1"/>
          <w:rFonts w:hint="cs"/>
          <w:sz w:val="24"/>
          <w:szCs w:val="24"/>
          <w:rtl/>
        </w:rPr>
        <w:t>لَا</w:t>
      </w:r>
      <w:r w:rsidRPr="001809AD">
        <w:rPr>
          <w:rStyle w:val="Char1"/>
          <w:sz w:val="24"/>
          <w:szCs w:val="24"/>
          <w:rtl/>
        </w:rPr>
        <w:t xml:space="preserve"> </w:t>
      </w:r>
      <w:r w:rsidRPr="001809AD">
        <w:rPr>
          <w:rStyle w:val="Char1"/>
          <w:rFonts w:hint="cs"/>
          <w:sz w:val="24"/>
          <w:szCs w:val="24"/>
          <w:rtl/>
        </w:rPr>
        <w:t>تُرۡجَعُونَ</w:t>
      </w:r>
      <w:r w:rsidRPr="001809AD">
        <w:rPr>
          <w:rStyle w:val="Char1"/>
          <w:sz w:val="24"/>
          <w:szCs w:val="24"/>
          <w:rtl/>
        </w:rPr>
        <w:t xml:space="preserve"> </w:t>
      </w:r>
      <w:r w:rsidRPr="001809AD">
        <w:rPr>
          <w:rStyle w:val="Char1"/>
          <w:rFonts w:hint="cs"/>
          <w:sz w:val="24"/>
          <w:szCs w:val="24"/>
          <w:rtl/>
        </w:rPr>
        <w:t>١١٥</w:t>
      </w:r>
      <w:r>
        <w:rPr>
          <w:rFonts w:ascii="Traditional Arabic" w:hAnsi="Traditional Arabic" w:cs="Traditional Arabic"/>
          <w:rtl/>
        </w:rPr>
        <w:t>﴾</w:t>
      </w:r>
      <w:r w:rsidRPr="006E28E9">
        <w:rPr>
          <w:rStyle w:val="FootnoteReference"/>
          <w:rFonts w:hint="cs"/>
          <w:vertAlign w:val="baseline"/>
          <w:rtl/>
        </w:rPr>
        <w:t xml:space="preserve">  </w:t>
      </w:r>
      <w:r w:rsidRPr="006E28E9">
        <w:rPr>
          <w:rStyle w:val="FootnoteReference"/>
          <w:vertAlign w:val="baseline"/>
          <w:rtl/>
        </w:rPr>
        <w:t>[المؤمنون: 115</w:t>
      </w:r>
      <w:r w:rsidRPr="006E28E9">
        <w:rPr>
          <w:rStyle w:val="FootnoteReference"/>
          <w:rFonts w:hint="cs"/>
          <w:vertAlign w:val="baseline"/>
          <w:rtl/>
        </w:rPr>
        <w:t xml:space="preserve">]، وله قصيدة أخرى في الصفحة الأولى من العدد 40 من المجلة ذاتها.  </w:t>
      </w:r>
    </w:p>
  </w:footnote>
  <w:footnote w:id="28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جاو</w:t>
      </w:r>
      <w:r>
        <w:rPr>
          <w:rStyle w:val="Char9"/>
          <w:rFonts w:hint="cs"/>
          <w:sz w:val="20"/>
          <w:szCs w:val="20"/>
          <w:rtl/>
        </w:rPr>
        <w:t>ی</w:t>
      </w:r>
      <w:r w:rsidRPr="008C7124">
        <w:rPr>
          <w:rStyle w:val="Char9"/>
          <w:rFonts w:hint="cs"/>
          <w:sz w:val="20"/>
          <w:szCs w:val="20"/>
          <w:rtl/>
        </w:rPr>
        <w:t>دان</w:t>
      </w:r>
      <w:r w:rsidRPr="006E28E9">
        <w:rPr>
          <w:rStyle w:val="FootnoteReference"/>
          <w:rFonts w:hint="cs"/>
          <w:vertAlign w:val="baseline"/>
          <w:rtl/>
        </w:rPr>
        <w:t xml:space="preserve"> [الشريعة الخالدة]، ج 3، ص 12 - 13. </w:t>
      </w:r>
    </w:p>
  </w:footnote>
  <w:footnote w:id="28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نُشِر قسم من تلك المقالة في العدد 630 (شهر تير من سنة 1338 هـ.ش) ونُشِرت أجزاؤها الأخرى في الأعداد التالية لمجلة </w:t>
      </w:r>
      <w:r w:rsidRPr="008C7124">
        <w:rPr>
          <w:rStyle w:val="Char9"/>
          <w:rFonts w:hint="cs"/>
          <w:sz w:val="20"/>
          <w:szCs w:val="20"/>
          <w:rtl/>
        </w:rPr>
        <w:t>وظ</w:t>
      </w:r>
      <w:r>
        <w:rPr>
          <w:rStyle w:val="Char9"/>
          <w:rFonts w:hint="cs"/>
          <w:sz w:val="20"/>
          <w:szCs w:val="20"/>
          <w:rtl/>
        </w:rPr>
        <w:t>ی</w:t>
      </w:r>
      <w:r w:rsidRPr="008C7124">
        <w:rPr>
          <w:rStyle w:val="Char9"/>
          <w:rFonts w:hint="cs"/>
          <w:sz w:val="20"/>
          <w:szCs w:val="20"/>
          <w:rtl/>
        </w:rPr>
        <w:t>ف</w:t>
      </w:r>
      <w:r>
        <w:rPr>
          <w:rStyle w:val="Char9"/>
          <w:rFonts w:hint="cs"/>
          <w:sz w:val="20"/>
          <w:szCs w:val="20"/>
          <w:rtl/>
        </w:rPr>
        <w:t>ۀ</w:t>
      </w:r>
      <w:r w:rsidRPr="006E28E9">
        <w:rPr>
          <w:rStyle w:val="FootnoteReference"/>
          <w:rFonts w:hint="cs"/>
          <w:vertAlign w:val="baseline"/>
          <w:rtl/>
        </w:rPr>
        <w:t xml:space="preserve"> حيث كانت المقالة طويلة جداً. وقد نُشِرَت في مجلة </w:t>
      </w:r>
      <w:r w:rsidRPr="008C7124">
        <w:rPr>
          <w:rStyle w:val="Char9"/>
          <w:rFonts w:hint="cs"/>
          <w:sz w:val="20"/>
          <w:szCs w:val="20"/>
          <w:rtl/>
        </w:rPr>
        <w:t>وظ</w:t>
      </w:r>
      <w:r>
        <w:rPr>
          <w:rStyle w:val="Char9"/>
          <w:rFonts w:hint="cs"/>
          <w:sz w:val="20"/>
          <w:szCs w:val="20"/>
          <w:rtl/>
        </w:rPr>
        <w:t>ی</w:t>
      </w:r>
      <w:r w:rsidRPr="008C7124">
        <w:rPr>
          <w:rStyle w:val="Char9"/>
          <w:rFonts w:hint="cs"/>
          <w:sz w:val="20"/>
          <w:szCs w:val="20"/>
          <w:rtl/>
        </w:rPr>
        <w:t>ف</w:t>
      </w:r>
      <w:r>
        <w:rPr>
          <w:rStyle w:val="Char9"/>
          <w:rFonts w:hint="cs"/>
          <w:sz w:val="20"/>
          <w:szCs w:val="20"/>
          <w:rtl/>
        </w:rPr>
        <w:t>ۀ</w:t>
      </w:r>
      <w:r w:rsidRPr="006E28E9">
        <w:rPr>
          <w:rStyle w:val="FootnoteReference"/>
          <w:rFonts w:hint="cs"/>
          <w:vertAlign w:val="baseline"/>
          <w:rtl/>
        </w:rPr>
        <w:t xml:space="preserve"> بعض مقالات الرد والإيراد بين قلمداران والحاج سراج الأنصاري. وفيما بعد تمت طباعة مجموع مقالات الحاج سراج الأنصاري</w:t>
      </w:r>
      <w:r w:rsidRPr="006E28E9">
        <w:rPr>
          <w:rFonts w:hint="cs"/>
          <w:rtl/>
        </w:rPr>
        <w:t xml:space="preserve"> </w:t>
      </w:r>
      <w:r w:rsidRPr="006E28E9">
        <w:rPr>
          <w:rStyle w:val="FootnoteReference"/>
          <w:rFonts w:hint="cs"/>
          <w:vertAlign w:val="baseline"/>
          <w:rtl/>
        </w:rPr>
        <w:t>في ك</w:t>
      </w:r>
      <w:r w:rsidRPr="006E28E9">
        <w:rPr>
          <w:rFonts w:hint="cs"/>
          <w:rtl/>
        </w:rPr>
        <w:t>ُتَيِّب</w:t>
      </w:r>
      <w:r w:rsidRPr="006E28E9">
        <w:rPr>
          <w:rStyle w:val="FootnoteReference"/>
          <w:rFonts w:hint="cs"/>
          <w:vertAlign w:val="baseline"/>
          <w:rtl/>
        </w:rPr>
        <w:t xml:space="preserve"> واحد مستقل في ثمان صفحات (جُعِل م</w:t>
      </w:r>
      <w:r w:rsidRPr="006E28E9">
        <w:rPr>
          <w:rFonts w:hint="cs"/>
          <w:rtl/>
        </w:rPr>
        <w:t>ُ</w:t>
      </w:r>
      <w:r w:rsidRPr="006E28E9">
        <w:rPr>
          <w:rStyle w:val="FootnoteReference"/>
          <w:rFonts w:hint="cs"/>
          <w:vertAlign w:val="baseline"/>
          <w:rtl/>
        </w:rPr>
        <w:t>ل</w:t>
      </w:r>
      <w:r w:rsidRPr="006E28E9">
        <w:rPr>
          <w:rFonts w:hint="cs"/>
          <w:rtl/>
        </w:rPr>
        <w:t>ْ</w:t>
      </w:r>
      <w:r w:rsidRPr="006E28E9">
        <w:rPr>
          <w:rStyle w:val="FootnoteReference"/>
          <w:rFonts w:hint="cs"/>
          <w:vertAlign w:val="baseline"/>
          <w:rtl/>
        </w:rPr>
        <w:t xml:space="preserve">حَقاً بالعدد 697 من مجلة </w:t>
      </w:r>
      <w:r w:rsidRPr="008C7124">
        <w:rPr>
          <w:rStyle w:val="Char9"/>
          <w:rFonts w:hint="cs"/>
          <w:sz w:val="20"/>
          <w:szCs w:val="20"/>
          <w:rtl/>
        </w:rPr>
        <w:t>وظ</w:t>
      </w:r>
      <w:r>
        <w:rPr>
          <w:rStyle w:val="Char9"/>
          <w:rFonts w:hint="cs"/>
          <w:sz w:val="20"/>
          <w:szCs w:val="20"/>
          <w:rtl/>
        </w:rPr>
        <w:t>ی</w:t>
      </w:r>
      <w:r w:rsidRPr="008C7124">
        <w:rPr>
          <w:rStyle w:val="Char9"/>
          <w:rFonts w:hint="cs"/>
          <w:sz w:val="20"/>
          <w:szCs w:val="20"/>
          <w:rtl/>
        </w:rPr>
        <w:t>فه</w:t>
      </w:r>
      <w:r w:rsidRPr="006E28E9">
        <w:rPr>
          <w:rStyle w:val="FootnoteReference"/>
          <w:rFonts w:hint="cs"/>
          <w:vertAlign w:val="baseline"/>
          <w:rtl/>
        </w:rPr>
        <w:t>). (تاريخ انتهائها شهر آبان 1339 هـ.ش)، ح</w:t>
      </w:r>
      <w:r w:rsidRPr="006E28E9">
        <w:rPr>
          <w:rFonts w:hint="cs"/>
          <w:rtl/>
        </w:rPr>
        <w:t>يث</w:t>
      </w:r>
      <w:r w:rsidRPr="006E28E9">
        <w:rPr>
          <w:rStyle w:val="FootnoteReference"/>
          <w:rFonts w:hint="cs"/>
          <w:vertAlign w:val="baseline"/>
          <w:rtl/>
        </w:rPr>
        <w:t xml:space="preserve"> تحدث جزء م</w:t>
      </w:r>
      <w:r w:rsidRPr="006E28E9">
        <w:rPr>
          <w:rFonts w:hint="cs"/>
          <w:rtl/>
        </w:rPr>
        <w:t>ن ال</w:t>
      </w:r>
      <w:r w:rsidRPr="006E28E9">
        <w:rPr>
          <w:rStyle w:val="FootnoteReference"/>
          <w:rFonts w:hint="cs"/>
          <w:vertAlign w:val="baseline"/>
          <w:rtl/>
        </w:rPr>
        <w:t>ك</w:t>
      </w:r>
      <w:r w:rsidRPr="006E28E9">
        <w:rPr>
          <w:rFonts w:hint="cs"/>
          <w:rtl/>
        </w:rPr>
        <w:t>ُتَيِّب</w:t>
      </w:r>
      <w:r w:rsidRPr="006E28E9">
        <w:rPr>
          <w:rStyle w:val="FootnoteReference"/>
          <w:rFonts w:hint="cs"/>
          <w:vertAlign w:val="baseline"/>
          <w:rtl/>
        </w:rPr>
        <w:t xml:space="preserve"> ع</w:t>
      </w:r>
      <w:r w:rsidRPr="006E28E9">
        <w:rPr>
          <w:rFonts w:hint="cs"/>
          <w:rtl/>
        </w:rPr>
        <w:t>ن</w:t>
      </w:r>
      <w:r w:rsidRPr="006E28E9">
        <w:rPr>
          <w:rStyle w:val="FootnoteReference"/>
          <w:rFonts w:hint="cs"/>
          <w:vertAlign w:val="baseline"/>
          <w:rtl/>
        </w:rPr>
        <w:t xml:space="preserve"> علل وأسباب انحطاط المسلمين، وتحدث ق</w:t>
      </w:r>
      <w:r w:rsidRPr="006E28E9">
        <w:rPr>
          <w:rFonts w:hint="cs"/>
          <w:rtl/>
        </w:rPr>
        <w:t>سمٌ</w:t>
      </w:r>
      <w:r w:rsidRPr="006E28E9">
        <w:rPr>
          <w:rStyle w:val="FootnoteReference"/>
          <w:rFonts w:hint="cs"/>
          <w:vertAlign w:val="baseline"/>
          <w:rtl/>
        </w:rPr>
        <w:t xml:space="preserve"> آخر </w:t>
      </w:r>
      <w:r w:rsidRPr="006E28E9">
        <w:rPr>
          <w:rFonts w:hint="cs"/>
          <w:rtl/>
        </w:rPr>
        <w:t xml:space="preserve">منه </w:t>
      </w:r>
      <w:r w:rsidRPr="006E28E9">
        <w:rPr>
          <w:rStyle w:val="FootnoteReference"/>
          <w:rFonts w:hint="cs"/>
          <w:vertAlign w:val="baseline"/>
          <w:rtl/>
        </w:rPr>
        <w:t>ع</w:t>
      </w:r>
      <w:r w:rsidRPr="006E28E9">
        <w:rPr>
          <w:rFonts w:hint="cs"/>
          <w:rtl/>
        </w:rPr>
        <w:t>ن</w:t>
      </w:r>
      <w:r w:rsidRPr="006E28E9">
        <w:rPr>
          <w:rStyle w:val="FootnoteReference"/>
          <w:rFonts w:hint="cs"/>
          <w:vertAlign w:val="baseline"/>
          <w:rtl/>
        </w:rPr>
        <w:t xml:space="preserve"> مسألة التوسل وع</w:t>
      </w:r>
      <w:r w:rsidRPr="006E28E9">
        <w:rPr>
          <w:rFonts w:hint="cs"/>
          <w:rtl/>
        </w:rPr>
        <w:t>ن</w:t>
      </w:r>
      <w:r w:rsidRPr="006E28E9">
        <w:rPr>
          <w:rStyle w:val="FootnoteReference"/>
          <w:rFonts w:hint="cs"/>
          <w:vertAlign w:val="baseline"/>
          <w:rtl/>
        </w:rPr>
        <w:t xml:space="preserve"> معنى أولو (تحت عنوان «في موضوع التوسل ومعنى أولو الأمر»)</w:t>
      </w:r>
      <w:r w:rsidRPr="006E28E9">
        <w:rPr>
          <w:rFonts w:hint="cs"/>
          <w:rtl/>
        </w:rPr>
        <w:t>.</w:t>
      </w:r>
    </w:p>
  </w:footnote>
  <w:footnote w:id="28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تم هذا الاستنساخ </w:t>
      </w:r>
      <w:r w:rsidRPr="006E28E9">
        <w:rPr>
          <w:rFonts w:hint="cs"/>
          <w:rtl/>
        </w:rPr>
        <w:t>ل</w:t>
      </w:r>
      <w:r w:rsidRPr="006E28E9">
        <w:rPr>
          <w:rStyle w:val="FootnoteReference"/>
          <w:rFonts w:hint="cs"/>
          <w:vertAlign w:val="baseline"/>
          <w:rtl/>
        </w:rPr>
        <w:t>كتاب «</w:t>
      </w:r>
      <w:r w:rsidRPr="006E28E9">
        <w:rPr>
          <w:rStyle w:val="FootnoteReference"/>
          <w:rFonts w:hint="cs"/>
          <w:b/>
          <w:bCs/>
          <w:vertAlign w:val="baseline"/>
          <w:rtl/>
        </w:rPr>
        <w:t>الخُمْس»</w:t>
      </w:r>
      <w:r w:rsidRPr="006E28E9">
        <w:rPr>
          <w:rStyle w:val="FootnoteReference"/>
          <w:rFonts w:hint="cs"/>
          <w:vertAlign w:val="baseline"/>
          <w:rtl/>
        </w:rPr>
        <w:t xml:space="preserve"> وتكثيره في أصفهان</w:t>
      </w:r>
      <w:r w:rsidRPr="006E28E9">
        <w:rPr>
          <w:rFonts w:hint="cs"/>
          <w:rtl/>
        </w:rPr>
        <w:t>، وقام به</w:t>
      </w:r>
      <w:r w:rsidRPr="006E28E9">
        <w:rPr>
          <w:rStyle w:val="FootnoteReference"/>
          <w:rFonts w:hint="cs"/>
          <w:vertAlign w:val="baseline"/>
          <w:rtl/>
        </w:rPr>
        <w:t xml:space="preserve"> </w:t>
      </w:r>
      <w:r w:rsidRPr="006E28E9">
        <w:rPr>
          <w:rFonts w:hint="cs"/>
          <w:rtl/>
        </w:rPr>
        <w:t xml:space="preserve">- </w:t>
      </w:r>
      <w:r w:rsidRPr="006E28E9">
        <w:rPr>
          <w:rStyle w:val="FootnoteReference"/>
          <w:rFonts w:hint="cs"/>
          <w:vertAlign w:val="baseline"/>
          <w:rtl/>
        </w:rPr>
        <w:t>في الواقع-</w:t>
      </w:r>
      <w:r w:rsidRPr="006E28E9">
        <w:rPr>
          <w:rFonts w:hint="cs"/>
          <w:rtl/>
        </w:rPr>
        <w:t xml:space="preserve"> </w:t>
      </w:r>
      <w:r w:rsidRPr="006E28E9">
        <w:rPr>
          <w:rStyle w:val="FootnoteReference"/>
          <w:rFonts w:hint="cs"/>
          <w:vertAlign w:val="baseline"/>
          <w:rtl/>
        </w:rPr>
        <w:t>الأشخاص الذين كانوا يت</w:t>
      </w:r>
      <w:r w:rsidRPr="006E28E9">
        <w:rPr>
          <w:rFonts w:hint="cs"/>
          <w:rtl/>
        </w:rPr>
        <w:t>ّ</w:t>
      </w:r>
      <w:r w:rsidRPr="006E28E9">
        <w:rPr>
          <w:rStyle w:val="FootnoteReference"/>
          <w:rFonts w:hint="cs"/>
          <w:vertAlign w:val="baseline"/>
          <w:rtl/>
        </w:rPr>
        <w:t>بعون أفكار غروي الأصفهاني، وأدركوا التشابه والتماثل بين هذين النمطين من التفكير.</w:t>
      </w:r>
    </w:p>
  </w:footnote>
  <w:footnote w:id="28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برقعى</w:t>
      </w:r>
      <w:r w:rsidRPr="006E28E9">
        <w:rPr>
          <w:rStyle w:val="FootnoteReference"/>
          <w:rFonts w:hint="cs"/>
          <w:vertAlign w:val="baseline"/>
          <w:rtl/>
        </w:rPr>
        <w:t xml:space="preserve"> [مذكرات برقعي]، (توجد نسخة عنه في مكتبة تاريخ قم)، ص 126.</w:t>
      </w:r>
    </w:p>
  </w:footnote>
  <w:footnote w:id="28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w:t>
      </w:r>
      <w:r w:rsidRPr="006E28E9">
        <w:rPr>
          <w:rFonts w:hint="cs"/>
          <w:rtl/>
        </w:rPr>
        <w:t>تب</w:t>
      </w:r>
      <w:r w:rsidRPr="006E28E9">
        <w:rPr>
          <w:rStyle w:val="FootnoteReference"/>
          <w:rFonts w:hint="cs"/>
          <w:vertAlign w:val="baseline"/>
          <w:rtl/>
        </w:rPr>
        <w:t xml:space="preserve"> الشخص المسؤول عن الرقابة على الكتب وتقييمها في إدارة الثقافة والفن </w:t>
      </w:r>
      <w:r w:rsidRPr="006E28E9">
        <w:rPr>
          <w:rFonts w:hint="cs"/>
          <w:rtl/>
        </w:rPr>
        <w:t xml:space="preserve">قائلًا </w:t>
      </w:r>
      <w:r w:rsidRPr="006E28E9">
        <w:rPr>
          <w:rStyle w:val="FootnoteReference"/>
          <w:rFonts w:hint="cs"/>
          <w:vertAlign w:val="baseline"/>
          <w:rtl/>
        </w:rPr>
        <w:t xml:space="preserve">عن هذا الكتاب: «مؤلفه من أنصار بني أمية وبني العباس وأهل السنة والوهابيين، وقد طرح موضوعاته وأصدر حكمه فيها </w:t>
      </w:r>
      <w:r w:rsidRPr="006E28E9">
        <w:rPr>
          <w:rFonts w:hint="cs"/>
          <w:rtl/>
        </w:rPr>
        <w:t xml:space="preserve">وحده </w:t>
      </w:r>
      <w:r w:rsidRPr="006E28E9">
        <w:rPr>
          <w:rStyle w:val="FootnoteReference"/>
          <w:rFonts w:hint="cs"/>
          <w:vertAlign w:val="baseline"/>
          <w:rtl/>
        </w:rPr>
        <w:t>دون أن ي</w:t>
      </w:r>
      <w:r w:rsidRPr="006E28E9">
        <w:rPr>
          <w:rFonts w:hint="cs"/>
          <w:rtl/>
        </w:rPr>
        <w:t>ُتاح</w:t>
      </w:r>
      <w:r w:rsidRPr="006E28E9">
        <w:rPr>
          <w:rStyle w:val="FootnoteReference"/>
          <w:rFonts w:hint="cs"/>
          <w:vertAlign w:val="baseline"/>
          <w:rtl/>
        </w:rPr>
        <w:t xml:space="preserve"> للآخرين الرد عليه، والكتاب من أوله إلى آخره مليء بالمغالطة والسفسطة وكتمان الحق وتأييد عثمان </w:t>
      </w:r>
      <w:r w:rsidRPr="006E28E9">
        <w:rPr>
          <w:rFonts w:hint="cs"/>
          <w:rtl/>
        </w:rPr>
        <w:t xml:space="preserve">بن عفان </w:t>
      </w:r>
      <w:r w:rsidRPr="006E28E9">
        <w:rPr>
          <w:rStyle w:val="FootnoteReference"/>
          <w:rFonts w:hint="cs"/>
          <w:vertAlign w:val="baseline"/>
          <w:rtl/>
        </w:rPr>
        <w:t>وبني أمية والدفاع عنهم وعن الخلفاء العباسيين والسلاطين العثمانيين</w:t>
      </w:r>
      <w:r w:rsidRPr="006E28E9">
        <w:rPr>
          <w:rFonts w:hint="cs"/>
          <w:rtl/>
        </w:rPr>
        <w:t>،</w:t>
      </w:r>
      <w:r w:rsidRPr="006E28E9">
        <w:rPr>
          <w:rStyle w:val="FootnoteReference"/>
          <w:rFonts w:hint="cs"/>
          <w:vertAlign w:val="baseline"/>
          <w:rtl/>
        </w:rPr>
        <w:t xml:space="preserve"> والتستر على مظالمهم واعتبار ظلمهم عين العدل، ومن هذا المنطلق هاجم الخواجه نصير الدين الطوسي وابن العلقمي و</w:t>
      </w:r>
      <w:r w:rsidRPr="006E28E9">
        <w:rPr>
          <w:rFonts w:hint="cs"/>
          <w:rtl/>
        </w:rPr>
        <w:t>ال</w:t>
      </w:r>
      <w:r w:rsidRPr="006E28E9">
        <w:rPr>
          <w:rStyle w:val="FootnoteReference"/>
          <w:rFonts w:hint="cs"/>
          <w:vertAlign w:val="baseline"/>
          <w:rtl/>
        </w:rPr>
        <w:t>شاه عباس الصفوي الكبير</w:t>
      </w:r>
      <w:r w:rsidRPr="006E28E9">
        <w:rPr>
          <w:rFonts w:hint="cs"/>
          <w:rtl/>
        </w:rPr>
        <w:t>،</w:t>
      </w:r>
      <w:r w:rsidRPr="006E28E9">
        <w:rPr>
          <w:rStyle w:val="FootnoteReference"/>
          <w:rFonts w:hint="cs"/>
          <w:vertAlign w:val="baseline"/>
          <w:rtl/>
        </w:rPr>
        <w:t xml:space="preserve"> وأدان حملته على مدينة هرات وذرف دموع التماسيح عليها. انظر كتاب «</w:t>
      </w:r>
      <w:r w:rsidRPr="008C7124">
        <w:rPr>
          <w:rStyle w:val="Char9"/>
          <w:rFonts w:hint="cs"/>
          <w:sz w:val="20"/>
          <w:szCs w:val="20"/>
          <w:rtl/>
        </w:rPr>
        <w:t>سانسور در آ</w:t>
      </w:r>
      <w:r>
        <w:rPr>
          <w:rStyle w:val="Char9"/>
          <w:rFonts w:hint="cs"/>
          <w:sz w:val="20"/>
          <w:szCs w:val="20"/>
          <w:rtl/>
        </w:rPr>
        <w:t>یی</w:t>
      </w:r>
      <w:r w:rsidRPr="008C7124">
        <w:rPr>
          <w:rStyle w:val="Char9"/>
          <w:rFonts w:hint="cs"/>
          <w:sz w:val="20"/>
          <w:szCs w:val="20"/>
          <w:rtl/>
        </w:rPr>
        <w:t>نه</w:t>
      </w:r>
      <w:r w:rsidRPr="006E28E9">
        <w:rPr>
          <w:rStyle w:val="FootnoteReference"/>
          <w:rFonts w:hint="cs"/>
          <w:vertAlign w:val="baseline"/>
          <w:rtl/>
        </w:rPr>
        <w:t>» [الرقابة في المرآة]، ص 526.</w:t>
      </w:r>
    </w:p>
  </w:footnote>
  <w:footnote w:id="28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يعني </w:t>
      </w:r>
      <w:r w:rsidRPr="006E28E9">
        <w:rPr>
          <w:rFonts w:hint="cs"/>
          <w:rtl/>
        </w:rPr>
        <w:t xml:space="preserve">آخر </w:t>
      </w:r>
      <w:r w:rsidRPr="006E28E9">
        <w:rPr>
          <w:rStyle w:val="FootnoteReference"/>
          <w:rFonts w:hint="cs"/>
          <w:vertAlign w:val="baseline"/>
          <w:rtl/>
        </w:rPr>
        <w:t xml:space="preserve">أربعينيات </w:t>
      </w:r>
      <w:r w:rsidRPr="006E28E9">
        <w:rPr>
          <w:rFonts w:hint="cs"/>
          <w:rtl/>
          <w:lang w:bidi="ar-SY"/>
        </w:rPr>
        <w:t>القرن الرابع عشر الهجري الشمسي الحالي</w:t>
      </w:r>
      <w:r w:rsidRPr="006E28E9">
        <w:rPr>
          <w:rFonts w:hint="cs"/>
          <w:rtl/>
        </w:rPr>
        <w:t xml:space="preserve"> حسب التقويم الإيراني</w:t>
      </w:r>
      <w:r w:rsidRPr="006E28E9">
        <w:rPr>
          <w:rStyle w:val="FootnoteReference"/>
          <w:rFonts w:hint="cs"/>
          <w:vertAlign w:val="baseline"/>
          <w:rtl/>
        </w:rPr>
        <w:t xml:space="preserve">، </w:t>
      </w:r>
      <w:r w:rsidRPr="006E28E9">
        <w:rPr>
          <w:rFonts w:hint="cs"/>
          <w:rtl/>
        </w:rPr>
        <w:t>و</w:t>
      </w:r>
      <w:r w:rsidRPr="006E28E9">
        <w:rPr>
          <w:rStyle w:val="FootnoteReference"/>
          <w:rFonts w:hint="cs"/>
          <w:vertAlign w:val="baseline"/>
          <w:rtl/>
        </w:rPr>
        <w:t xml:space="preserve">يقابله </w:t>
      </w:r>
      <w:r w:rsidRPr="006E28E9">
        <w:rPr>
          <w:rFonts w:hint="cs"/>
          <w:rtl/>
        </w:rPr>
        <w:t xml:space="preserve">أواسط </w:t>
      </w:r>
      <w:r w:rsidRPr="006E28E9">
        <w:rPr>
          <w:rStyle w:val="FootnoteReference"/>
          <w:rFonts w:hint="cs"/>
          <w:vertAlign w:val="baseline"/>
          <w:rtl/>
        </w:rPr>
        <w:t>سبعينيات القرن العشرين الميلادي</w:t>
      </w:r>
      <w:r w:rsidRPr="006E28E9">
        <w:rPr>
          <w:rFonts w:hint="cs"/>
          <w:rtl/>
        </w:rPr>
        <w:t xml:space="preserve"> المنصرم، وهي الفترة السابقة لاندلاع الثورة في إيران. (المُتَرْجِمُ)</w:t>
      </w:r>
    </w:p>
  </w:footnote>
  <w:footnote w:id="29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sz w:val="20"/>
          <w:szCs w:val="20"/>
          <w:rtl/>
        </w:rPr>
        <w:t>ی</w:t>
      </w:r>
      <w:r w:rsidRPr="008C7124">
        <w:rPr>
          <w:rStyle w:val="Char9"/>
          <w:sz w:val="20"/>
          <w:szCs w:val="20"/>
          <w:rtl/>
        </w:rPr>
        <w:t>اد</w:t>
      </w:r>
      <w:r>
        <w:rPr>
          <w:rStyle w:val="Char9"/>
          <w:sz w:val="20"/>
          <w:szCs w:val="20"/>
          <w:rtl/>
        </w:rPr>
        <w:t>ی</w:t>
      </w:r>
      <w:r w:rsidRPr="008C7124">
        <w:rPr>
          <w:rStyle w:val="Char9"/>
          <w:sz w:val="20"/>
          <w:szCs w:val="20"/>
          <w:rtl/>
        </w:rPr>
        <w:t xml:space="preserve"> از </w:t>
      </w:r>
      <w:r>
        <w:rPr>
          <w:rStyle w:val="Char9"/>
          <w:sz w:val="20"/>
          <w:szCs w:val="20"/>
          <w:rtl/>
        </w:rPr>
        <w:t>ی</w:t>
      </w:r>
      <w:r w:rsidRPr="008C7124">
        <w:rPr>
          <w:rStyle w:val="Char9"/>
          <w:sz w:val="20"/>
          <w:szCs w:val="20"/>
          <w:rtl/>
        </w:rPr>
        <w:t>ار</w:t>
      </w:r>
      <w:r w:rsidRPr="006E28E9">
        <w:rPr>
          <w:rStyle w:val="FootnoteReference"/>
          <w:vertAlign w:val="baseline"/>
          <w:rtl/>
        </w:rPr>
        <w:t xml:space="preserve"> [ذكرى عن الحبيب]، ص 12، وإشارة قلمداران إلى هذا الموضوع في كتابه </w:t>
      </w:r>
      <w:r w:rsidRPr="008C7124">
        <w:rPr>
          <w:rStyle w:val="Char9"/>
          <w:sz w:val="20"/>
          <w:szCs w:val="20"/>
          <w:rtl/>
        </w:rPr>
        <w:t>ح</w:t>
      </w:r>
      <w:r>
        <w:rPr>
          <w:rStyle w:val="Char9"/>
          <w:sz w:val="20"/>
          <w:szCs w:val="20"/>
          <w:rtl/>
        </w:rPr>
        <w:t>ک</w:t>
      </w:r>
      <w:r w:rsidRPr="008C7124">
        <w:rPr>
          <w:rStyle w:val="Char9"/>
          <w:sz w:val="20"/>
          <w:szCs w:val="20"/>
          <w:rtl/>
        </w:rPr>
        <w:t>ومت در اسلام</w:t>
      </w:r>
      <w:r w:rsidRPr="006E28E9">
        <w:rPr>
          <w:rStyle w:val="FootnoteReference"/>
          <w:vertAlign w:val="baseline"/>
          <w:rtl/>
        </w:rPr>
        <w:t xml:space="preserve"> </w:t>
      </w:r>
      <w:r w:rsidRPr="006E28E9">
        <w:rPr>
          <w:rFonts w:hint="cs"/>
          <w:rtl/>
        </w:rPr>
        <w:t xml:space="preserve">[الحكومة في </w:t>
      </w:r>
      <w:r w:rsidRPr="006E28E9">
        <w:rPr>
          <w:rFonts w:hint="cs"/>
          <w:rtl/>
          <w:lang w:bidi="ar-SY"/>
        </w:rPr>
        <w:t>الإسلام</w:t>
      </w:r>
      <w:r w:rsidRPr="006E28E9">
        <w:rPr>
          <w:rFonts w:hint="cs"/>
          <w:rtl/>
        </w:rPr>
        <w:t xml:space="preserve">] </w:t>
      </w:r>
      <w:r w:rsidRPr="006E28E9">
        <w:rPr>
          <w:rStyle w:val="FootnoteReference"/>
          <w:rFonts w:hint="cs"/>
          <w:vertAlign w:val="baseline"/>
          <w:rtl/>
        </w:rPr>
        <w:t>ت</w:t>
      </w:r>
      <w:r w:rsidRPr="006E28E9">
        <w:rPr>
          <w:rFonts w:hint="cs"/>
          <w:rtl/>
        </w:rPr>
        <w:t>قع</w:t>
      </w:r>
      <w:r w:rsidRPr="006E28E9">
        <w:rPr>
          <w:rStyle w:val="FootnoteReference"/>
          <w:vertAlign w:val="baseline"/>
          <w:rtl/>
        </w:rPr>
        <w:t xml:space="preserve"> في ج 2، ص 181 منه.</w:t>
      </w:r>
    </w:p>
  </w:footnote>
  <w:footnote w:id="29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Pr>
          <w:rStyle w:val="Char9"/>
          <w:sz w:val="20"/>
          <w:szCs w:val="20"/>
          <w:rtl/>
        </w:rPr>
        <w:t>ی</w:t>
      </w:r>
      <w:r w:rsidRPr="008C7124">
        <w:rPr>
          <w:rStyle w:val="Char9"/>
          <w:sz w:val="20"/>
          <w:szCs w:val="20"/>
          <w:rtl/>
        </w:rPr>
        <w:t>اد</w:t>
      </w:r>
      <w:r>
        <w:rPr>
          <w:rStyle w:val="Char9"/>
          <w:sz w:val="20"/>
          <w:szCs w:val="20"/>
          <w:rtl/>
        </w:rPr>
        <w:t>ی</w:t>
      </w:r>
      <w:r w:rsidRPr="008C7124">
        <w:rPr>
          <w:rStyle w:val="Char9"/>
          <w:sz w:val="20"/>
          <w:szCs w:val="20"/>
          <w:rtl/>
        </w:rPr>
        <w:t xml:space="preserve"> از </w:t>
      </w:r>
      <w:r>
        <w:rPr>
          <w:rStyle w:val="Char9"/>
          <w:sz w:val="20"/>
          <w:szCs w:val="20"/>
          <w:rtl/>
        </w:rPr>
        <w:t>ی</w:t>
      </w:r>
      <w:r w:rsidRPr="008C7124">
        <w:rPr>
          <w:rStyle w:val="Char9"/>
          <w:sz w:val="20"/>
          <w:szCs w:val="20"/>
          <w:rtl/>
        </w:rPr>
        <w:t>ار</w:t>
      </w:r>
      <w:r w:rsidRPr="006E28E9">
        <w:rPr>
          <w:rStyle w:val="FootnoteReference"/>
          <w:vertAlign w:val="baseline"/>
          <w:rtl/>
        </w:rPr>
        <w:t xml:space="preserve"> [ذكرى عن الحبيب]، ص 5. وجاء في ص 6 من الكتاب أنه لمَّا أُطلِق سراح بازرگان من السجن، ذهب أربع مرات إلى قم للقاء قلمداران. و</w:t>
      </w:r>
      <w:r w:rsidRPr="006E28E9">
        <w:rPr>
          <w:rStyle w:val="FootnoteReference"/>
          <w:rFonts w:hint="cs"/>
          <w:vertAlign w:val="baseline"/>
          <w:rtl/>
        </w:rPr>
        <w:t>أ</w:t>
      </w:r>
      <w:r w:rsidRPr="006E28E9">
        <w:rPr>
          <w:rStyle w:val="FootnoteReference"/>
          <w:vertAlign w:val="baseline"/>
          <w:rtl/>
        </w:rPr>
        <w:t>شار الدك</w:t>
      </w:r>
      <w:r w:rsidRPr="006E28E9">
        <w:rPr>
          <w:rStyle w:val="FootnoteReference"/>
          <w:rFonts w:hint="cs"/>
          <w:vertAlign w:val="baseline"/>
          <w:rtl/>
        </w:rPr>
        <w:t>ت</w:t>
      </w:r>
      <w:r w:rsidRPr="006E28E9">
        <w:rPr>
          <w:rStyle w:val="FootnoteReference"/>
          <w:vertAlign w:val="baseline"/>
          <w:rtl/>
        </w:rPr>
        <w:t xml:space="preserve">ور علي شريعتي في رسالته التي كتبها وأرسلها إلى آية الله ميلاني، إلى </w:t>
      </w:r>
      <w:r w:rsidRPr="006E28E9">
        <w:rPr>
          <w:rStyle w:val="FootnoteReference"/>
          <w:rFonts w:hint="cs"/>
          <w:vertAlign w:val="baseline"/>
          <w:rtl/>
        </w:rPr>
        <w:t>م</w:t>
      </w:r>
      <w:r w:rsidRPr="006E28E9">
        <w:rPr>
          <w:rFonts w:hint="cs"/>
          <w:rtl/>
        </w:rPr>
        <w:t>نع كتاب</w:t>
      </w:r>
      <w:r w:rsidRPr="006E28E9">
        <w:rPr>
          <w:rStyle w:val="FootnoteReference"/>
          <w:vertAlign w:val="baseline"/>
          <w:rtl/>
        </w:rPr>
        <w:t xml:space="preserve"> بارزگان «</w:t>
      </w:r>
      <w:r w:rsidRPr="008C7124">
        <w:rPr>
          <w:rStyle w:val="Char9"/>
          <w:sz w:val="20"/>
          <w:szCs w:val="20"/>
          <w:rtl/>
        </w:rPr>
        <w:t>بعثت وا</w:t>
      </w:r>
      <w:r>
        <w:rPr>
          <w:rStyle w:val="Char9"/>
          <w:sz w:val="20"/>
          <w:szCs w:val="20"/>
          <w:rtl/>
        </w:rPr>
        <w:t>ی</w:t>
      </w:r>
      <w:r w:rsidRPr="008C7124">
        <w:rPr>
          <w:rStyle w:val="Char9"/>
          <w:sz w:val="20"/>
          <w:szCs w:val="20"/>
          <w:rtl/>
        </w:rPr>
        <w:t>دئولوژ</w:t>
      </w:r>
      <w:r>
        <w:rPr>
          <w:rStyle w:val="Char9"/>
          <w:sz w:val="20"/>
          <w:szCs w:val="20"/>
          <w:rtl/>
        </w:rPr>
        <w:t>ی</w:t>
      </w:r>
      <w:r w:rsidRPr="006E28E9">
        <w:rPr>
          <w:rStyle w:val="FootnoteReference"/>
          <w:vertAlign w:val="baseline"/>
          <w:rtl/>
        </w:rPr>
        <w:t xml:space="preserve">» </w:t>
      </w:r>
      <w:r w:rsidRPr="006E28E9">
        <w:rPr>
          <w:rStyle w:val="FootnoteReference"/>
          <w:rFonts w:hint="cs"/>
          <w:vertAlign w:val="baseline"/>
          <w:rtl/>
        </w:rPr>
        <w:t>ب</w:t>
      </w:r>
      <w:r w:rsidRPr="006E28E9">
        <w:rPr>
          <w:rFonts w:hint="cs"/>
          <w:rtl/>
        </w:rPr>
        <w:t xml:space="preserve">التزامن مع منع </w:t>
      </w:r>
      <w:r w:rsidRPr="006E28E9">
        <w:rPr>
          <w:rStyle w:val="FootnoteReference"/>
          <w:vertAlign w:val="baseline"/>
          <w:rtl/>
        </w:rPr>
        <w:t>كتابه - أي كتاب شريعتي - «</w:t>
      </w:r>
      <w:r w:rsidRPr="008C7124">
        <w:rPr>
          <w:rStyle w:val="Char9"/>
          <w:sz w:val="20"/>
          <w:szCs w:val="20"/>
          <w:rtl/>
        </w:rPr>
        <w:t>اسلام شناس</w:t>
      </w:r>
      <w:r>
        <w:rPr>
          <w:rStyle w:val="Char9"/>
          <w:sz w:val="20"/>
          <w:szCs w:val="20"/>
          <w:rtl/>
        </w:rPr>
        <w:t>ی</w:t>
      </w:r>
      <w:r w:rsidRPr="006E28E9">
        <w:rPr>
          <w:rStyle w:val="FootnoteReference"/>
          <w:vertAlign w:val="baseline"/>
          <w:rtl/>
        </w:rPr>
        <w:t xml:space="preserve">» [معرفة الإسلام]. انظروا: </w:t>
      </w:r>
      <w:r w:rsidRPr="008C7124">
        <w:rPr>
          <w:rStyle w:val="Char9"/>
          <w:sz w:val="20"/>
          <w:szCs w:val="20"/>
          <w:rtl/>
        </w:rPr>
        <w:t>مجموع آثار، نامه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w:t>
      </w:r>
      <w:r w:rsidRPr="006E28E9">
        <w:rPr>
          <w:rStyle w:val="FootnoteReference"/>
          <w:vertAlign w:val="baseline"/>
          <w:rtl/>
        </w:rPr>
        <w:t xml:space="preserve"> [مجموع المؤلفات والرسائل]، ص 203.</w:t>
      </w:r>
    </w:p>
  </w:footnote>
  <w:footnote w:id="29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هذا التاريخ ل</w:t>
      </w:r>
      <w:r w:rsidRPr="006E28E9">
        <w:rPr>
          <w:rStyle w:val="FootnoteReference"/>
          <w:rFonts w:hint="cs"/>
          <w:vertAlign w:val="baseline"/>
          <w:rtl/>
        </w:rPr>
        <w:t>وفاته يوافق: 4/4/1412هـ. ق، أو 12/10/ 1991م. (المُتَرْجِمُ)</w:t>
      </w:r>
    </w:p>
  </w:footnote>
  <w:footnote w:id="29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يقصد ثلاثينيات القرن الرابع عشر الهجري الشمسي حسب التقويم الإيراني، وهذا يوافق خمسينيات القرن  العشرين الميلادي. (المُتَرْجِمُ)</w:t>
      </w:r>
    </w:p>
  </w:footnote>
  <w:footnote w:id="294">
    <w:p w:rsidR="008C7124" w:rsidRPr="001809AD" w:rsidRDefault="008C7124" w:rsidP="0092648A">
      <w:pPr>
        <w:pStyle w:val="FootnoteText"/>
        <w:rPr>
          <w:rStyle w:val="FootnoteReference"/>
          <w:spacing w:val="-6"/>
          <w:vertAlign w:val="baseline"/>
        </w:rPr>
      </w:pPr>
      <w:r w:rsidRPr="001809AD">
        <w:rPr>
          <w:rStyle w:val="FootnoteReference"/>
          <w:rFonts w:ascii="Arabic11 BT" w:hAnsi="Arabic11 BT" w:cs="Arabic11 BT"/>
          <w:spacing w:val="-6"/>
          <w:vertAlign w:val="baseline"/>
        </w:rPr>
        <w:footnoteRef/>
      </w:r>
      <w:r w:rsidRPr="001809AD">
        <w:rPr>
          <w:rStyle w:val="FootnoteReference"/>
          <w:rFonts w:hint="cs"/>
          <w:spacing w:val="-6"/>
          <w:vertAlign w:val="baseline"/>
          <w:rtl/>
        </w:rPr>
        <w:t xml:space="preserve">. </w:t>
      </w:r>
      <w:r w:rsidRPr="001809AD">
        <w:rPr>
          <w:rStyle w:val="FootnoteReference"/>
          <w:spacing w:val="-6"/>
          <w:vertAlign w:val="baseline"/>
          <w:rtl/>
        </w:rPr>
        <w:t xml:space="preserve">كُتب على غلاف هذا الكتاب </w:t>
      </w:r>
      <w:r w:rsidRPr="001809AD">
        <w:rPr>
          <w:rStyle w:val="FootnoteReference"/>
          <w:rFonts w:hint="cs"/>
          <w:spacing w:val="-6"/>
          <w:vertAlign w:val="baseline"/>
          <w:rtl/>
        </w:rPr>
        <w:t>بيتان</w:t>
      </w:r>
      <w:r w:rsidRPr="001809AD">
        <w:rPr>
          <w:rStyle w:val="FootnoteReference"/>
          <w:spacing w:val="-6"/>
          <w:vertAlign w:val="baseline"/>
          <w:rtl/>
        </w:rPr>
        <w:t xml:space="preserve"> من الشعر [بالفارسية وترجمته</w:t>
      </w:r>
      <w:r w:rsidRPr="001809AD">
        <w:rPr>
          <w:rStyle w:val="FootnoteReference"/>
          <w:rFonts w:hint="cs"/>
          <w:spacing w:val="-6"/>
          <w:vertAlign w:val="baseline"/>
          <w:rtl/>
        </w:rPr>
        <w:t>م</w:t>
      </w:r>
      <w:r w:rsidRPr="001809AD">
        <w:rPr>
          <w:rStyle w:val="FootnoteReference"/>
          <w:spacing w:val="-6"/>
          <w:vertAlign w:val="baseline"/>
          <w:rtl/>
        </w:rPr>
        <w:t>ا] كما يلي:</w:t>
      </w:r>
      <w:r w:rsidRPr="001809AD">
        <w:rPr>
          <w:rStyle w:val="FootnoteReference"/>
          <w:rFonts w:hint="cs"/>
          <w:spacing w:val="-6"/>
          <w:vertAlign w:val="baseline"/>
          <w:rtl/>
        </w:rPr>
        <w:t xml:space="preserve"> </w:t>
      </w:r>
      <w:r w:rsidRPr="001809AD">
        <w:rPr>
          <w:rStyle w:val="FootnoteReference"/>
          <w:spacing w:val="-6"/>
          <w:vertAlign w:val="baseline"/>
          <w:rtl/>
        </w:rPr>
        <w:t>«هذا الكتاب يُنْب</w:t>
      </w:r>
      <w:r w:rsidRPr="001809AD">
        <w:rPr>
          <w:rFonts w:hint="cs"/>
          <w:spacing w:val="-6"/>
          <w:rtl/>
        </w:rPr>
        <w:t>ِ</w:t>
      </w:r>
      <w:r w:rsidRPr="001809AD">
        <w:rPr>
          <w:rStyle w:val="FootnoteReference"/>
          <w:spacing w:val="-6"/>
          <w:vertAlign w:val="baseline"/>
          <w:rtl/>
        </w:rPr>
        <w:t>ئ</w:t>
      </w:r>
      <w:r w:rsidRPr="001809AD">
        <w:rPr>
          <w:rFonts w:hint="cs"/>
          <w:spacing w:val="-6"/>
          <w:rtl/>
        </w:rPr>
        <w:t>ُ</w:t>
      </w:r>
      <w:r w:rsidRPr="001809AD">
        <w:rPr>
          <w:rStyle w:val="FootnoteReference"/>
          <w:spacing w:val="-6"/>
          <w:vertAlign w:val="baseline"/>
          <w:rtl/>
        </w:rPr>
        <w:t>ك</w:t>
      </w:r>
      <w:r w:rsidRPr="001809AD">
        <w:rPr>
          <w:rFonts w:hint="cs"/>
          <w:spacing w:val="-6"/>
          <w:rtl/>
        </w:rPr>
        <w:t>َ</w:t>
      </w:r>
      <w:r w:rsidRPr="001809AD">
        <w:rPr>
          <w:rStyle w:val="FootnoteReference"/>
          <w:spacing w:val="-6"/>
          <w:vertAlign w:val="baseline"/>
          <w:rtl/>
        </w:rPr>
        <w:t xml:space="preserve"> عن الحق ويُبرِّئ</w:t>
      </w:r>
      <w:r w:rsidRPr="001809AD">
        <w:rPr>
          <w:rFonts w:hint="cs"/>
          <w:spacing w:val="-6"/>
          <w:rtl/>
        </w:rPr>
        <w:t>ُ</w:t>
      </w:r>
      <w:r w:rsidRPr="001809AD">
        <w:rPr>
          <w:rStyle w:val="FootnoteReference"/>
          <w:spacing w:val="-6"/>
          <w:vertAlign w:val="baseline"/>
          <w:rtl/>
        </w:rPr>
        <w:t>ك</w:t>
      </w:r>
      <w:r w:rsidRPr="001809AD">
        <w:rPr>
          <w:rFonts w:hint="cs"/>
          <w:spacing w:val="-6"/>
          <w:rtl/>
        </w:rPr>
        <w:t>َ</w:t>
      </w:r>
      <w:r w:rsidRPr="001809AD">
        <w:rPr>
          <w:rStyle w:val="FootnoteReference"/>
          <w:spacing w:val="-6"/>
          <w:vertAlign w:val="baseline"/>
          <w:rtl/>
        </w:rPr>
        <w:t xml:space="preserve"> من الغلوّ والشرك.  يا طالب التوحيد الخالص</w:t>
      </w:r>
      <w:r w:rsidRPr="001809AD">
        <w:rPr>
          <w:rStyle w:val="FootnoteReference"/>
          <w:rFonts w:hint="cs"/>
          <w:spacing w:val="-6"/>
          <w:vertAlign w:val="baseline"/>
          <w:rtl/>
        </w:rPr>
        <w:t>!</w:t>
      </w:r>
      <w:r w:rsidRPr="001809AD">
        <w:rPr>
          <w:rStyle w:val="FootnoteReference"/>
          <w:spacing w:val="-6"/>
          <w:vertAlign w:val="baseline"/>
          <w:rtl/>
        </w:rPr>
        <w:t xml:space="preserve"> عليك أن تقرأ </w:t>
      </w:r>
      <w:r w:rsidRPr="001809AD">
        <w:rPr>
          <w:rStyle w:val="FootnoteReference"/>
          <w:rFonts w:hint="cs"/>
          <w:spacing w:val="-6"/>
          <w:vertAlign w:val="baseline"/>
          <w:rtl/>
        </w:rPr>
        <w:t xml:space="preserve">حتمًا </w:t>
      </w:r>
      <w:r w:rsidRPr="001809AD">
        <w:rPr>
          <w:rStyle w:val="FootnoteReference"/>
          <w:spacing w:val="-6"/>
          <w:vertAlign w:val="baseline"/>
          <w:rtl/>
        </w:rPr>
        <w:t>هذا الكتاب». طهران، كتابفروشي شمسي، 1388 هـ.ق.</w:t>
      </w:r>
    </w:p>
  </w:footnote>
  <w:footnote w:id="29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 xml:space="preserve">كان جعفر خندق آبادي من علماء الدين في طهران وصاحب مسجد ما يزال يُسَمَّى باسمه. وكان يقوم بنشر بعض الكُتَيِّبات منها </w:t>
      </w:r>
      <w:r w:rsidRPr="006E28E9">
        <w:rPr>
          <w:rStyle w:val="FootnoteReference"/>
          <w:b/>
          <w:bCs/>
          <w:vertAlign w:val="baseline"/>
          <w:rtl/>
        </w:rPr>
        <w:t>دائرة المعارف الإسلامية المقتبسة من المدرسة الجعفرية</w:t>
      </w:r>
      <w:r w:rsidRPr="006E28E9">
        <w:rPr>
          <w:rStyle w:val="FootnoteReference"/>
          <w:vertAlign w:val="baseline"/>
          <w:rtl/>
        </w:rPr>
        <w:t xml:space="preserve"> (طبع قم، حكمت، دون تاريخ). كان عنوان العدد الأول من هذه السلسلة: العدد الأول من المجلة حول التوحيد. و....العدد السادس حول حقوق الأسرة، والسابع حول حرمة شرب الخمر والزنا واللواط و..... العدد الثامن حول حلق اللحية. العدد الثالث عشر للمج</w:t>
      </w:r>
      <w:r w:rsidRPr="006E28E9">
        <w:rPr>
          <w:rStyle w:val="FootnoteReference"/>
          <w:rFonts w:hint="cs"/>
          <w:vertAlign w:val="baseline"/>
          <w:rtl/>
        </w:rPr>
        <w:t>لّ</w:t>
      </w:r>
      <w:r w:rsidRPr="006E28E9">
        <w:rPr>
          <w:rStyle w:val="FootnoteReference"/>
          <w:vertAlign w:val="baseline"/>
          <w:rtl/>
        </w:rPr>
        <w:t xml:space="preserve">ة حول حضرة المهدي </w:t>
      </w:r>
      <w:r w:rsidRPr="00924380">
        <w:rPr>
          <w:rStyle w:val="FootnoteReference"/>
          <w:rFonts w:cs="CTraditional Arabic"/>
          <w:vertAlign w:val="baseline"/>
          <w:rtl/>
        </w:rPr>
        <w:t>÷</w:t>
      </w:r>
      <w:r w:rsidRPr="006E28E9">
        <w:rPr>
          <w:rStyle w:val="FootnoteReference"/>
          <w:vertAlign w:val="baseline"/>
          <w:rtl/>
        </w:rPr>
        <w:t xml:space="preserve"> وقد </w:t>
      </w:r>
      <w:r w:rsidRPr="006E28E9">
        <w:rPr>
          <w:rStyle w:val="FootnoteReference"/>
          <w:rFonts w:hint="cs"/>
          <w:vertAlign w:val="baseline"/>
          <w:rtl/>
        </w:rPr>
        <w:t>ط</w:t>
      </w:r>
      <w:r w:rsidRPr="006E28E9">
        <w:rPr>
          <w:rFonts w:hint="cs"/>
          <w:rtl/>
        </w:rPr>
        <w:t>ُب</w:t>
      </w:r>
      <w:r w:rsidRPr="006E28E9">
        <w:rPr>
          <w:rStyle w:val="FootnoteReference"/>
          <w:vertAlign w:val="baseline"/>
          <w:rtl/>
        </w:rPr>
        <w:t>عت في طهران بدون تاريخ. وقد أورد الرازي ترجمةً له في كتابه «</w:t>
      </w:r>
      <w:r w:rsidRPr="008C7124">
        <w:rPr>
          <w:rStyle w:val="Char9"/>
          <w:sz w:val="20"/>
          <w:szCs w:val="20"/>
          <w:rtl/>
        </w:rPr>
        <w:t>گنج</w:t>
      </w:r>
      <w:r>
        <w:rPr>
          <w:rStyle w:val="Char9"/>
          <w:sz w:val="20"/>
          <w:szCs w:val="20"/>
          <w:rtl/>
        </w:rPr>
        <w:t>ی</w:t>
      </w:r>
      <w:r w:rsidRPr="008C7124">
        <w:rPr>
          <w:rStyle w:val="Char9"/>
          <w:sz w:val="20"/>
          <w:szCs w:val="20"/>
          <w:rtl/>
        </w:rPr>
        <w:t>نه دانشمندان</w:t>
      </w:r>
      <w:r w:rsidRPr="006E28E9">
        <w:rPr>
          <w:rStyle w:val="FootnoteReference"/>
          <w:vertAlign w:val="baseline"/>
          <w:rtl/>
        </w:rPr>
        <w:t>» [كنز العلماء]، ج 2، ص 358 - 359، وقال</w:t>
      </w:r>
      <w:r w:rsidRPr="006E28E9">
        <w:rPr>
          <w:rStyle w:val="FootnoteReference"/>
          <w:rFonts w:hint="cs"/>
          <w:vertAlign w:val="baseline"/>
          <w:rtl/>
        </w:rPr>
        <w:t>: «</w:t>
      </w:r>
      <w:r w:rsidRPr="006E28E9">
        <w:rPr>
          <w:rStyle w:val="FootnoteReference"/>
          <w:vertAlign w:val="baseline"/>
          <w:rtl/>
        </w:rPr>
        <w:t xml:space="preserve">إن مسجده </w:t>
      </w:r>
      <w:r w:rsidRPr="006E28E9">
        <w:rPr>
          <w:rStyle w:val="FootnoteReference"/>
          <w:rFonts w:hint="cs"/>
          <w:vertAlign w:val="baseline"/>
          <w:rtl/>
        </w:rPr>
        <w:t xml:space="preserve">يقع </w:t>
      </w:r>
      <w:r w:rsidRPr="006E28E9">
        <w:rPr>
          <w:rStyle w:val="FootnoteReference"/>
          <w:vertAlign w:val="baseline"/>
          <w:rtl/>
        </w:rPr>
        <w:t>في شارع مولوي في طهران، وأنه يقيم صلاة الجماعة في ذلك المسجد منذ أكثر من ثلاثين عامًا. وقد اشتكى في الدعاء الأخير الذي أورده في ترجمته (أي في بيان حاله) من الوهابيين «الذين يهينون خادمي الدين المُسِنِّين والولاية</w:t>
      </w:r>
      <w:r w:rsidRPr="006E28E9">
        <w:rPr>
          <w:rStyle w:val="FootnoteReference"/>
          <w:rFonts w:hint="cs"/>
          <w:vertAlign w:val="baseline"/>
          <w:rtl/>
        </w:rPr>
        <w:t>».</w:t>
      </w:r>
    </w:p>
  </w:footnote>
  <w:footnote w:id="29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هو آية الله السيد محمد كاظم شريعتمداري أحد مراجع الشيعة البارزين في قم في ذلك الوقت</w:t>
      </w:r>
      <w:r w:rsidRPr="006E28E9">
        <w:rPr>
          <w:rFonts w:hint="cs"/>
          <w:rtl/>
        </w:rPr>
        <w:t>،</w:t>
      </w:r>
      <w:r w:rsidRPr="006E28E9">
        <w:rPr>
          <w:rStyle w:val="FootnoteReference"/>
          <w:rFonts w:hint="cs"/>
          <w:vertAlign w:val="baseline"/>
          <w:rtl/>
        </w:rPr>
        <w:t xml:space="preserve"> وهو آذريٌّ (تركي) من تبريز، تولى المرجعية سنة 1961م بعد وفاة السيد البروجردي وقل</w:t>
      </w:r>
      <w:r w:rsidRPr="006E28E9">
        <w:rPr>
          <w:rFonts w:hint="cs"/>
          <w:rtl/>
        </w:rPr>
        <w:t>ّ</w:t>
      </w:r>
      <w:r w:rsidRPr="006E28E9">
        <w:rPr>
          <w:rStyle w:val="FootnoteReference"/>
          <w:rFonts w:hint="cs"/>
          <w:vertAlign w:val="baseline"/>
          <w:rtl/>
        </w:rPr>
        <w:t xml:space="preserve">ده عدد كبير من شيعة </w:t>
      </w:r>
      <w:r w:rsidRPr="006E28E9">
        <w:rPr>
          <w:rFonts w:hint="cs"/>
          <w:rtl/>
        </w:rPr>
        <w:t>إيران</w:t>
      </w:r>
      <w:r w:rsidRPr="006E28E9">
        <w:rPr>
          <w:rStyle w:val="FootnoteReference"/>
          <w:rFonts w:hint="cs"/>
          <w:vertAlign w:val="baseline"/>
          <w:rtl/>
        </w:rPr>
        <w:t xml:space="preserve"> لاسيما الآذريين الأتراك، </w:t>
      </w:r>
      <w:r w:rsidRPr="006E28E9">
        <w:rPr>
          <w:rFonts w:hint="cs"/>
          <w:rtl/>
        </w:rPr>
        <w:t xml:space="preserve">بالإضافة إلى كثير من شيعة باكستان والهند ولبنان، بعد فترة أمضاها تحت الإقامة الجبرية التي فُرِضَت عليه في منزله في قم بتهمة الخيانة، توفي سنة 1986م في مدينة قم ودفن فيها. (المُتَرْجِمُ) </w:t>
      </w:r>
      <w:r w:rsidRPr="006E28E9">
        <w:rPr>
          <w:rStyle w:val="FootnoteReference"/>
          <w:rFonts w:hint="cs"/>
          <w:vertAlign w:val="baseline"/>
          <w:rtl/>
        </w:rPr>
        <w:t xml:space="preserve">  </w:t>
      </w:r>
    </w:p>
  </w:footnote>
  <w:footnote w:id="29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سانسور در آ</w:t>
      </w:r>
      <w:r>
        <w:rPr>
          <w:rStyle w:val="Char9"/>
          <w:rFonts w:hint="cs"/>
          <w:sz w:val="20"/>
          <w:szCs w:val="20"/>
          <w:rtl/>
        </w:rPr>
        <w:t>یی</w:t>
      </w:r>
      <w:r w:rsidRPr="008C7124">
        <w:rPr>
          <w:rStyle w:val="Char9"/>
          <w:rFonts w:hint="cs"/>
          <w:sz w:val="20"/>
          <w:szCs w:val="20"/>
          <w:rtl/>
        </w:rPr>
        <w:t>نه</w:t>
      </w:r>
      <w:r w:rsidRPr="006E28E9">
        <w:rPr>
          <w:rStyle w:val="FootnoteReference"/>
          <w:rFonts w:hint="cs"/>
          <w:vertAlign w:val="baseline"/>
          <w:rtl/>
        </w:rPr>
        <w:t xml:space="preserve"> [الرقابة في المرآة]، ص 633.</w:t>
      </w:r>
    </w:p>
  </w:footnote>
  <w:footnote w:id="29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ک</w:t>
      </w:r>
      <w:r w:rsidRPr="008C7124">
        <w:rPr>
          <w:rStyle w:val="Char9"/>
          <w:rFonts w:hint="cs"/>
          <w:sz w:val="20"/>
          <w:szCs w:val="20"/>
          <w:rtl/>
        </w:rPr>
        <w:t>سر الصنم</w:t>
      </w:r>
      <w:r w:rsidRPr="006E28E9">
        <w:rPr>
          <w:rStyle w:val="FootnoteReference"/>
          <w:rFonts w:hint="cs"/>
          <w:vertAlign w:val="baseline"/>
          <w:rtl/>
        </w:rPr>
        <w:t xml:space="preserve">، </w:t>
      </w:r>
      <w:r w:rsidRPr="008C7124">
        <w:rPr>
          <w:rStyle w:val="Char9"/>
          <w:rFonts w:hint="cs"/>
          <w:sz w:val="20"/>
          <w:szCs w:val="20"/>
          <w:rtl/>
        </w:rPr>
        <w:t xml:space="preserve">نقد </w:t>
      </w:r>
      <w:r>
        <w:rPr>
          <w:rStyle w:val="Char9"/>
          <w:rFonts w:hint="cs"/>
          <w:sz w:val="20"/>
          <w:szCs w:val="20"/>
          <w:rtl/>
        </w:rPr>
        <w:t>ک</w:t>
      </w:r>
      <w:r w:rsidRPr="008C7124">
        <w:rPr>
          <w:rStyle w:val="Char9"/>
          <w:rFonts w:hint="cs"/>
          <w:sz w:val="20"/>
          <w:szCs w:val="20"/>
          <w:rtl/>
        </w:rPr>
        <w:t>تاب أصول ال</w:t>
      </w:r>
      <w:r>
        <w:rPr>
          <w:rStyle w:val="Char9"/>
          <w:rFonts w:hint="cs"/>
          <w:sz w:val="20"/>
          <w:szCs w:val="20"/>
          <w:rtl/>
        </w:rPr>
        <w:t>ک</w:t>
      </w:r>
      <w:r w:rsidRPr="008C7124">
        <w:rPr>
          <w:rStyle w:val="Char9"/>
          <w:rFonts w:hint="cs"/>
          <w:sz w:val="20"/>
          <w:szCs w:val="20"/>
          <w:rtl/>
        </w:rPr>
        <w:t>اف</w:t>
      </w:r>
      <w:r>
        <w:rPr>
          <w:rStyle w:val="Char9"/>
          <w:rFonts w:hint="cs"/>
          <w:sz w:val="20"/>
          <w:szCs w:val="20"/>
          <w:rtl/>
        </w:rPr>
        <w:t>ی</w:t>
      </w:r>
      <w:r w:rsidRPr="006E28E9">
        <w:rPr>
          <w:rStyle w:val="FootnoteReference"/>
          <w:rFonts w:hint="cs"/>
          <w:vertAlign w:val="baseline"/>
          <w:rtl/>
        </w:rPr>
        <w:t>، السيد أبو الفضل البرقعي، ترجمة عبد الرحيم ملازهي البلوشي، الأردن، 1988.</w:t>
      </w:r>
    </w:p>
  </w:footnote>
  <w:footnote w:id="29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لقد انتبه الوهابيون مؤخراً واهتموا في العقدين أو </w:t>
      </w:r>
      <w:r w:rsidRPr="006E28E9">
        <w:rPr>
          <w:rFonts w:hint="cs"/>
          <w:rtl/>
        </w:rPr>
        <w:t>ال</w:t>
      </w:r>
      <w:r w:rsidRPr="006E28E9">
        <w:rPr>
          <w:rStyle w:val="FootnoteReference"/>
          <w:rFonts w:hint="cs"/>
          <w:vertAlign w:val="baseline"/>
          <w:rtl/>
        </w:rPr>
        <w:t>عقود الثلاثة الماضية لعدد ممن يُطْلَق عليهم دعاة الإصلاح والتصحيح في مذهب الشيعة، وانتشر م</w:t>
      </w:r>
      <w:r w:rsidRPr="006E28E9">
        <w:rPr>
          <w:rFonts w:hint="cs"/>
          <w:rtl/>
        </w:rPr>
        <w:t>ُؤّخَّرًا</w:t>
      </w:r>
      <w:r w:rsidRPr="006E28E9">
        <w:rPr>
          <w:rStyle w:val="FootnoteReference"/>
          <w:rFonts w:hint="cs"/>
          <w:vertAlign w:val="baseline"/>
          <w:rtl/>
        </w:rPr>
        <w:t xml:space="preserve"> (سنة 1427 هـ.ق./2007 م) كتاب</w:t>
      </w:r>
      <w:r w:rsidRPr="006E28E9">
        <w:rPr>
          <w:rFonts w:hint="cs"/>
          <w:rtl/>
        </w:rPr>
        <w:t>ٌ</w:t>
      </w:r>
      <w:r w:rsidRPr="006E28E9">
        <w:rPr>
          <w:rStyle w:val="FootnoteReference"/>
          <w:rFonts w:hint="cs"/>
          <w:vertAlign w:val="baseline"/>
          <w:rtl/>
        </w:rPr>
        <w:t xml:space="preserve"> يحمل عنوان «</w:t>
      </w:r>
      <w:r w:rsidRPr="006E28E9">
        <w:rPr>
          <w:rStyle w:val="FootnoteReference"/>
          <w:rFonts w:hint="cs"/>
          <w:b/>
          <w:bCs/>
          <w:vertAlign w:val="baseline"/>
          <w:rtl/>
        </w:rPr>
        <w:t>أعلام التصحيح والاعتدال</w:t>
      </w:r>
      <w:r w:rsidRPr="006E28E9">
        <w:rPr>
          <w:rStyle w:val="FootnoteReference"/>
          <w:rFonts w:hint="cs"/>
          <w:vertAlign w:val="baseline"/>
          <w:rtl/>
        </w:rPr>
        <w:t>» ألّفه سعوديّ</w:t>
      </w:r>
      <w:r w:rsidRPr="006E28E9">
        <w:rPr>
          <w:rFonts w:hint="cs"/>
          <w:rtl/>
        </w:rPr>
        <w:t>ٌ</w:t>
      </w:r>
      <w:r w:rsidRPr="006E28E9">
        <w:rPr>
          <w:rStyle w:val="FootnoteReference"/>
          <w:rFonts w:hint="cs"/>
          <w:vertAlign w:val="baseline"/>
          <w:rtl/>
        </w:rPr>
        <w:t xml:space="preserve"> يُدْعى خالد بن محمد البديوي، وطُبِع هناك، وقد تحدث الكتاب عن عدد من الأشخاص من هذا الفريق أي دعاة التصحيح والإصلاح من الشيعة. و</w:t>
      </w:r>
      <w:r w:rsidRPr="006E28E9">
        <w:rPr>
          <w:rFonts w:hint="cs"/>
          <w:rtl/>
        </w:rPr>
        <w:t>الأشخاص</w:t>
      </w:r>
      <w:r w:rsidRPr="006E28E9">
        <w:rPr>
          <w:rStyle w:val="FootnoteReference"/>
          <w:rFonts w:hint="cs"/>
          <w:vertAlign w:val="baseline"/>
          <w:rtl/>
        </w:rPr>
        <w:t xml:space="preserve"> الذين تحدّث </w:t>
      </w:r>
      <w:r w:rsidRPr="006E28E9">
        <w:rPr>
          <w:rFonts w:hint="cs"/>
          <w:rtl/>
        </w:rPr>
        <w:t xml:space="preserve">عنهم </w:t>
      </w:r>
      <w:r w:rsidRPr="006E28E9">
        <w:rPr>
          <w:rStyle w:val="FootnoteReference"/>
          <w:rFonts w:hint="cs"/>
          <w:vertAlign w:val="baseline"/>
          <w:rtl/>
        </w:rPr>
        <w:t xml:space="preserve">الكتاب </w:t>
      </w:r>
      <w:r w:rsidRPr="006E28E9">
        <w:rPr>
          <w:rFonts w:hint="cs"/>
          <w:rtl/>
        </w:rPr>
        <w:t>هم</w:t>
      </w:r>
      <w:r w:rsidRPr="006E28E9">
        <w:rPr>
          <w:rStyle w:val="FootnoteReference"/>
          <w:rFonts w:hint="cs"/>
          <w:vertAlign w:val="baseline"/>
          <w:rtl/>
        </w:rPr>
        <w:t>: السيد أبو الفضل البرقعي، أحمد كسروي، أحمد الكاتب، الشيخ محمد الخالصي، موسى الموسوي، محمد حسين فضل الله. و</w:t>
      </w:r>
      <w:r w:rsidRPr="006E28E9">
        <w:rPr>
          <w:rFonts w:hint="cs"/>
          <w:rtl/>
        </w:rPr>
        <w:t xml:space="preserve">لكن </w:t>
      </w:r>
      <w:r w:rsidRPr="006E28E9">
        <w:rPr>
          <w:rStyle w:val="FootnoteReference"/>
          <w:rFonts w:hint="cs"/>
          <w:vertAlign w:val="baseline"/>
          <w:rtl/>
        </w:rPr>
        <w:t xml:space="preserve">ينبغي الانتباه إلى أن وضع الخالصي وفضل الله يختلف تماماً عن </w:t>
      </w:r>
      <w:r w:rsidRPr="006E28E9">
        <w:rPr>
          <w:rFonts w:hint="cs"/>
          <w:rtl/>
        </w:rPr>
        <w:t xml:space="preserve">وضع </w:t>
      </w:r>
      <w:r w:rsidRPr="006E28E9">
        <w:rPr>
          <w:rStyle w:val="FootnoteReference"/>
          <w:rFonts w:hint="cs"/>
          <w:vertAlign w:val="baseline"/>
          <w:rtl/>
        </w:rPr>
        <w:t>الأشخاص الأربعة الآخرين. ك</w:t>
      </w:r>
      <w:r w:rsidRPr="006E28E9">
        <w:rPr>
          <w:rFonts w:hint="cs"/>
          <w:rtl/>
        </w:rPr>
        <w:t xml:space="preserve">ما أنه </w:t>
      </w:r>
      <w:r w:rsidRPr="006E28E9">
        <w:rPr>
          <w:rStyle w:val="FootnoteReference"/>
          <w:rFonts w:hint="cs"/>
          <w:vertAlign w:val="baseline"/>
          <w:rtl/>
        </w:rPr>
        <w:t xml:space="preserve">ليس هناك </w:t>
      </w:r>
      <w:r w:rsidRPr="006E28E9">
        <w:rPr>
          <w:rFonts w:hint="cs"/>
          <w:rtl/>
        </w:rPr>
        <w:t xml:space="preserve">أدنى </w:t>
      </w:r>
      <w:r w:rsidRPr="006E28E9">
        <w:rPr>
          <w:rStyle w:val="FootnoteReference"/>
          <w:rFonts w:hint="cs"/>
          <w:vertAlign w:val="baseline"/>
          <w:rtl/>
        </w:rPr>
        <w:t xml:space="preserve">شكّ في تشيع موسى الموسوي (الذي توفي في أمريكا </w:t>
      </w:r>
      <w:r w:rsidRPr="006E28E9">
        <w:rPr>
          <w:rFonts w:hint="cs"/>
          <w:rtl/>
        </w:rPr>
        <w:t xml:space="preserve">مؤخَّرًا </w:t>
      </w:r>
      <w:r w:rsidRPr="006E28E9">
        <w:rPr>
          <w:rStyle w:val="FootnoteReference"/>
          <w:rFonts w:hint="cs"/>
          <w:vertAlign w:val="baseline"/>
          <w:rtl/>
        </w:rPr>
        <w:t>وأحضروا جثمانه إلى النجف و</w:t>
      </w:r>
      <w:r w:rsidRPr="006E28E9">
        <w:rPr>
          <w:rFonts w:hint="cs"/>
          <w:rtl/>
        </w:rPr>
        <w:t>دُفِن</w:t>
      </w:r>
      <w:r w:rsidRPr="006E28E9">
        <w:rPr>
          <w:rStyle w:val="FootnoteReference"/>
          <w:rFonts w:hint="cs"/>
          <w:vertAlign w:val="baseline"/>
          <w:rtl/>
        </w:rPr>
        <w:t xml:space="preserve"> فيها) و</w:t>
      </w:r>
      <w:r w:rsidRPr="006E28E9">
        <w:rPr>
          <w:rFonts w:hint="cs"/>
          <w:rtl/>
        </w:rPr>
        <w:t xml:space="preserve">تشيُّع </w:t>
      </w:r>
      <w:r w:rsidRPr="006E28E9">
        <w:rPr>
          <w:rStyle w:val="FootnoteReference"/>
          <w:rFonts w:hint="cs"/>
          <w:vertAlign w:val="baseline"/>
          <w:rtl/>
        </w:rPr>
        <w:t>الشيخ محمد الخالصي.</w:t>
      </w:r>
    </w:p>
  </w:footnote>
  <w:footnote w:id="30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كل ما ذكرناه هنا - ما عدا الفقرة الأخيرة المتعلقة ب</w:t>
      </w:r>
      <w:r w:rsidRPr="006E28E9">
        <w:rPr>
          <w:rFonts w:hint="cs"/>
          <w:rtl/>
        </w:rPr>
        <w:t>وفاته و</w:t>
      </w:r>
      <w:r w:rsidRPr="006E28E9">
        <w:rPr>
          <w:rStyle w:val="FootnoteReference"/>
          <w:rFonts w:hint="cs"/>
          <w:vertAlign w:val="baseline"/>
          <w:rtl/>
        </w:rPr>
        <w:t xml:space="preserve">دفنه - مستقى من مذكرات </w:t>
      </w:r>
      <w:r w:rsidRPr="006E28E9">
        <w:rPr>
          <w:rFonts w:hint="cs"/>
          <w:rtl/>
        </w:rPr>
        <w:t xml:space="preserve">البرقعي وترجمة حياته الذاتية </w:t>
      </w:r>
      <w:r w:rsidRPr="006E28E9">
        <w:rPr>
          <w:rStyle w:val="FootnoteReference"/>
          <w:rFonts w:hint="cs"/>
          <w:vertAlign w:val="baseline"/>
          <w:rtl/>
        </w:rPr>
        <w:t xml:space="preserve">التي كتبها </w:t>
      </w:r>
      <w:r w:rsidRPr="006E28E9">
        <w:rPr>
          <w:rFonts w:hint="cs"/>
          <w:rtl/>
        </w:rPr>
        <w:t>ب</w:t>
      </w:r>
      <w:r w:rsidRPr="006E28E9">
        <w:rPr>
          <w:rStyle w:val="FootnoteReference"/>
          <w:rFonts w:hint="cs"/>
          <w:vertAlign w:val="baseline"/>
          <w:rtl/>
        </w:rPr>
        <w:t>نفسه ونُشِرَت في موقع أهل السنة في إيران على شبكة الإنترنت، كما أن هناك نسخة مطبوعة لكتاب مذكراته هذا في مكتبة تاريخ الإسلام في قم. وليس من الواضح فيما إذا كانت الأيدي قد تصرفت في نص تلك المذكرات أم أنها بقيت على الحال التي كتبها فيها مؤلفها، لكن الظاهر يدل على أن ذلك الكتاب هو من إنشاء المؤلف نفسه أو أنه ذكر أموراً وكتبها الآخرون. وقد طُبِعَت صور لبعض الرسائل والمنشورات والبيانات التي كتبها المؤلف في آخر كتاب مذكرات</w:t>
      </w:r>
      <w:r w:rsidRPr="006E28E9">
        <w:rPr>
          <w:rFonts w:hint="cs"/>
          <w:rtl/>
        </w:rPr>
        <w:t>ه</w:t>
      </w:r>
      <w:r w:rsidRPr="006E28E9">
        <w:rPr>
          <w:rStyle w:val="FootnoteReference"/>
          <w:rFonts w:hint="cs"/>
          <w:vertAlign w:val="baseline"/>
          <w:rtl/>
        </w:rPr>
        <w:t xml:space="preserve"> هذا.</w:t>
      </w:r>
    </w:p>
  </w:footnote>
  <w:footnote w:id="30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كان لدى السيد ميمندى نژاد صاحب امتياز مجلة </w:t>
      </w:r>
      <w:r w:rsidRPr="008C7124">
        <w:rPr>
          <w:rStyle w:val="Char9"/>
          <w:rFonts w:hint="cs"/>
          <w:sz w:val="20"/>
          <w:szCs w:val="20"/>
          <w:rtl/>
        </w:rPr>
        <w:t>رنگ</w:t>
      </w:r>
      <w:r>
        <w:rPr>
          <w:rStyle w:val="Char9"/>
          <w:rFonts w:hint="cs"/>
          <w:sz w:val="20"/>
          <w:szCs w:val="20"/>
          <w:rtl/>
        </w:rPr>
        <w:t>ی</w:t>
      </w:r>
      <w:r w:rsidRPr="008C7124">
        <w:rPr>
          <w:rStyle w:val="Char9"/>
          <w:rFonts w:hint="cs"/>
          <w:sz w:val="20"/>
          <w:szCs w:val="20"/>
          <w:rtl/>
        </w:rPr>
        <w:t xml:space="preserve">ن </w:t>
      </w:r>
      <w:r>
        <w:rPr>
          <w:rStyle w:val="Char9"/>
          <w:rFonts w:hint="cs"/>
          <w:sz w:val="20"/>
          <w:szCs w:val="20"/>
          <w:rtl/>
        </w:rPr>
        <w:t>ک</w:t>
      </w:r>
      <w:r w:rsidRPr="008C7124">
        <w:rPr>
          <w:rStyle w:val="Char9"/>
          <w:rFonts w:hint="cs"/>
          <w:sz w:val="20"/>
          <w:szCs w:val="20"/>
          <w:rtl/>
        </w:rPr>
        <w:t>مان</w:t>
      </w:r>
      <w:r w:rsidRPr="006E28E9">
        <w:rPr>
          <w:rStyle w:val="FootnoteReference"/>
          <w:rFonts w:hint="cs"/>
          <w:vertAlign w:val="baseline"/>
          <w:rtl/>
        </w:rPr>
        <w:t xml:space="preserve"> ومديرها الذي كان ينشر مقالات تقوي في مجلته</w:t>
      </w:r>
      <w:r w:rsidRPr="006E28E9">
        <w:rPr>
          <w:rFonts w:hint="cs"/>
          <w:rtl/>
        </w:rPr>
        <w:t xml:space="preserve"> تلك</w:t>
      </w:r>
      <w:r w:rsidRPr="006E28E9">
        <w:rPr>
          <w:rStyle w:val="FootnoteReference"/>
          <w:rFonts w:hint="cs"/>
          <w:vertAlign w:val="baseline"/>
          <w:rtl/>
        </w:rPr>
        <w:t xml:space="preserve">، عقيدته الخاصة </w:t>
      </w:r>
      <w:r w:rsidRPr="006E28E9">
        <w:rPr>
          <w:rFonts w:hint="cs"/>
          <w:rtl/>
        </w:rPr>
        <w:t xml:space="preserve">به </w:t>
      </w:r>
      <w:r w:rsidRPr="006E28E9">
        <w:rPr>
          <w:rStyle w:val="FootnoteReference"/>
          <w:rFonts w:hint="cs"/>
          <w:vertAlign w:val="baseline"/>
          <w:rtl/>
        </w:rPr>
        <w:t>أيضًا بشأن إمام الزمان. انظروا رسالته إلى شريف إمامي في كتاب: «</w:t>
      </w:r>
      <w:r w:rsidRPr="008C7124">
        <w:rPr>
          <w:rStyle w:val="Char9"/>
          <w:rFonts w:hint="cs"/>
          <w:sz w:val="20"/>
          <w:szCs w:val="20"/>
          <w:rtl/>
        </w:rPr>
        <w:t>مطبوعات عصر پهلوى</w:t>
      </w:r>
      <w:r w:rsidRPr="006E28E9">
        <w:rPr>
          <w:rStyle w:val="FootnoteReference"/>
          <w:rFonts w:hint="cs"/>
          <w:vertAlign w:val="baseline"/>
          <w:rtl/>
        </w:rPr>
        <w:t xml:space="preserve">»، </w:t>
      </w:r>
      <w:r w:rsidRPr="008C7124">
        <w:rPr>
          <w:rStyle w:val="Char9"/>
          <w:rFonts w:hint="cs"/>
          <w:sz w:val="20"/>
          <w:szCs w:val="20"/>
          <w:rtl/>
        </w:rPr>
        <w:t>رنگ</w:t>
      </w:r>
      <w:r>
        <w:rPr>
          <w:rStyle w:val="Char9"/>
          <w:rFonts w:hint="cs"/>
          <w:sz w:val="20"/>
          <w:szCs w:val="20"/>
          <w:rtl/>
        </w:rPr>
        <w:t>ی</w:t>
      </w:r>
      <w:r w:rsidRPr="008C7124">
        <w:rPr>
          <w:rStyle w:val="Char9"/>
          <w:rFonts w:hint="cs"/>
          <w:sz w:val="20"/>
          <w:szCs w:val="20"/>
          <w:rtl/>
        </w:rPr>
        <w:t xml:space="preserve">ن </w:t>
      </w:r>
      <w:r>
        <w:rPr>
          <w:rStyle w:val="Char9"/>
          <w:rFonts w:hint="cs"/>
          <w:sz w:val="20"/>
          <w:szCs w:val="20"/>
          <w:rtl/>
        </w:rPr>
        <w:t>ک</w:t>
      </w:r>
      <w:r w:rsidRPr="008C7124">
        <w:rPr>
          <w:rStyle w:val="Char9"/>
          <w:rFonts w:hint="cs"/>
          <w:sz w:val="20"/>
          <w:szCs w:val="20"/>
          <w:rtl/>
        </w:rPr>
        <w:t>مان</w:t>
      </w:r>
      <w:r w:rsidRPr="006E28E9">
        <w:rPr>
          <w:rStyle w:val="FootnoteReference"/>
          <w:rFonts w:hint="cs"/>
          <w:vertAlign w:val="baseline"/>
          <w:rtl/>
        </w:rPr>
        <w:t>، ص 196.</w:t>
      </w:r>
    </w:p>
  </w:footnote>
  <w:footnote w:id="30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 </w:t>
      </w:r>
      <w:r>
        <w:rPr>
          <w:rStyle w:val="Char9"/>
          <w:rFonts w:hint="cs"/>
          <w:sz w:val="20"/>
          <w:szCs w:val="20"/>
          <w:rtl/>
        </w:rPr>
        <w:t>ی</w:t>
      </w:r>
      <w:r w:rsidRPr="008C7124">
        <w:rPr>
          <w:rStyle w:val="Char9"/>
          <w:rFonts w:hint="cs"/>
          <w:sz w:val="20"/>
          <w:szCs w:val="20"/>
          <w:rtl/>
        </w:rPr>
        <w:t>ک روش جد</w:t>
      </w:r>
      <w:r>
        <w:rPr>
          <w:rStyle w:val="Char9"/>
          <w:rFonts w:hint="cs"/>
          <w:sz w:val="20"/>
          <w:szCs w:val="20"/>
          <w:rtl/>
        </w:rPr>
        <w:t>ی</w:t>
      </w:r>
      <w:r w:rsidRPr="008C7124">
        <w:rPr>
          <w:rStyle w:val="Char9"/>
          <w:rFonts w:hint="cs"/>
          <w:sz w:val="20"/>
          <w:szCs w:val="20"/>
          <w:rtl/>
        </w:rPr>
        <w:t>د براى از ب</w:t>
      </w:r>
      <w:r>
        <w:rPr>
          <w:rStyle w:val="Char9"/>
          <w:rFonts w:hint="cs"/>
          <w:sz w:val="20"/>
          <w:szCs w:val="20"/>
          <w:rtl/>
        </w:rPr>
        <w:t>ی</w:t>
      </w:r>
      <w:r w:rsidRPr="008C7124">
        <w:rPr>
          <w:rStyle w:val="Char9"/>
          <w:rFonts w:hint="cs"/>
          <w:sz w:val="20"/>
          <w:szCs w:val="20"/>
          <w:rtl/>
        </w:rPr>
        <w:t xml:space="preserve">ن بردن </w:t>
      </w:r>
      <w:r>
        <w:rPr>
          <w:rStyle w:val="Char9"/>
          <w:rFonts w:hint="cs"/>
          <w:sz w:val="20"/>
          <w:szCs w:val="20"/>
          <w:rtl/>
        </w:rPr>
        <w:t>ک</w:t>
      </w:r>
      <w:r w:rsidRPr="008C7124">
        <w:rPr>
          <w:rStyle w:val="Char9"/>
          <w:rFonts w:hint="cs"/>
          <w:sz w:val="20"/>
          <w:szCs w:val="20"/>
          <w:rtl/>
        </w:rPr>
        <w:t>ل</w:t>
      </w:r>
      <w:r>
        <w:rPr>
          <w:rStyle w:val="Char9"/>
          <w:rFonts w:hint="cs"/>
          <w:sz w:val="20"/>
          <w:szCs w:val="20"/>
          <w:rtl/>
        </w:rPr>
        <w:t>ی</w:t>
      </w:r>
      <w:r w:rsidRPr="008C7124">
        <w:rPr>
          <w:rStyle w:val="Char9"/>
          <w:rFonts w:hint="cs"/>
          <w:sz w:val="20"/>
          <w:szCs w:val="20"/>
          <w:rtl/>
        </w:rPr>
        <w:t>ه اختلافات</w:t>
      </w:r>
      <w:r w:rsidRPr="006E28E9">
        <w:rPr>
          <w:rStyle w:val="FootnoteReference"/>
          <w:rFonts w:hint="cs"/>
          <w:vertAlign w:val="baseline"/>
          <w:rtl/>
        </w:rPr>
        <w:t xml:space="preserve"> [منهج جديد لإزالة جميع الخلافات]، ص 4. </w:t>
      </w:r>
      <w:r w:rsidRPr="006E28E9">
        <w:rPr>
          <w:rStyle w:val="FootnoteReference"/>
          <w:vertAlign w:val="baseline"/>
          <w:rtl/>
        </w:rPr>
        <w:t xml:space="preserve"> </w:t>
      </w:r>
    </w:p>
  </w:footnote>
  <w:footnote w:id="30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tl/>
        </w:rPr>
        <w:t xml:space="preserve">انظروا كتاب: </w:t>
      </w:r>
      <w:r>
        <w:rPr>
          <w:rStyle w:val="Char9"/>
          <w:sz w:val="20"/>
          <w:szCs w:val="20"/>
          <w:rtl/>
        </w:rPr>
        <w:t>یک</w:t>
      </w:r>
      <w:r w:rsidRPr="008C7124">
        <w:rPr>
          <w:rStyle w:val="Char9"/>
          <w:sz w:val="20"/>
          <w:szCs w:val="20"/>
          <w:rtl/>
        </w:rPr>
        <w:t xml:space="preserve"> روش جد</w:t>
      </w:r>
      <w:r>
        <w:rPr>
          <w:rStyle w:val="Char9"/>
          <w:sz w:val="20"/>
          <w:szCs w:val="20"/>
          <w:rtl/>
        </w:rPr>
        <w:t>ی</w:t>
      </w:r>
      <w:r w:rsidRPr="008C7124">
        <w:rPr>
          <w:rStyle w:val="Char9"/>
          <w:sz w:val="20"/>
          <w:szCs w:val="20"/>
          <w:rtl/>
        </w:rPr>
        <w:t>د برا</w:t>
      </w:r>
      <w:r>
        <w:rPr>
          <w:rStyle w:val="Char9"/>
          <w:sz w:val="20"/>
          <w:szCs w:val="20"/>
          <w:rtl/>
        </w:rPr>
        <w:t>ی</w:t>
      </w:r>
      <w:r w:rsidRPr="006E28E9">
        <w:rPr>
          <w:rtl/>
        </w:rPr>
        <w:t xml:space="preserve">....... </w:t>
      </w:r>
      <w:r w:rsidRPr="006E28E9">
        <w:rPr>
          <w:rFonts w:hint="cs"/>
          <w:rtl/>
        </w:rPr>
        <w:t xml:space="preserve">الخ </w:t>
      </w:r>
      <w:r w:rsidRPr="006E28E9">
        <w:rPr>
          <w:rtl/>
        </w:rPr>
        <w:t>[طريق جديدة ل..........]، ص 11.</w:t>
      </w:r>
      <w:r w:rsidRPr="006E28E9">
        <w:rPr>
          <w:rFonts w:hint="cs"/>
          <w:rtl/>
        </w:rPr>
        <w:t xml:space="preserve"> </w:t>
      </w:r>
      <w:r w:rsidRPr="006E28E9">
        <w:rPr>
          <w:rtl/>
        </w:rPr>
        <w:t xml:space="preserve">ويبدو أن كتابه </w:t>
      </w:r>
      <w:r w:rsidRPr="006E28E9">
        <w:rPr>
          <w:b/>
          <w:bCs/>
          <w:rtl/>
        </w:rPr>
        <w:t>سفينة نجاة البشرية</w:t>
      </w:r>
      <w:r w:rsidRPr="006E28E9">
        <w:rPr>
          <w:rtl/>
        </w:rPr>
        <w:t xml:space="preserve"> لم يُسْمَح بطباعته، وقد كَتَبَ المسؤول عن تقييم الكتب في وزارة الثقافة والفن سنة 1341هـ.ش قائلاً: «إن محتويات هذا الكتاب مخالفة للدين ومخالفة لمذهب التشيُّع»</w:t>
      </w:r>
      <w:r w:rsidRPr="006E28E9">
        <w:rPr>
          <w:rFonts w:hint="cs"/>
          <w:rtl/>
        </w:rPr>
        <w:t>.</w:t>
      </w:r>
      <w:r w:rsidRPr="006E28E9">
        <w:rPr>
          <w:rtl/>
        </w:rPr>
        <w:t xml:space="preserve"> (</w:t>
      </w:r>
      <w:r w:rsidRPr="008C7124">
        <w:rPr>
          <w:rStyle w:val="Char9"/>
          <w:sz w:val="20"/>
          <w:szCs w:val="20"/>
          <w:rtl/>
        </w:rPr>
        <w:t>سانسور در آ</w:t>
      </w:r>
      <w:r>
        <w:rPr>
          <w:rStyle w:val="Char9"/>
          <w:sz w:val="20"/>
          <w:szCs w:val="20"/>
          <w:rtl/>
        </w:rPr>
        <w:t>ی</w:t>
      </w:r>
      <w:r w:rsidRPr="008C7124">
        <w:rPr>
          <w:rStyle w:val="Char9"/>
          <w:sz w:val="20"/>
          <w:szCs w:val="20"/>
          <w:rtl/>
        </w:rPr>
        <w:t>نه</w:t>
      </w:r>
      <w:r w:rsidRPr="006E28E9">
        <w:rPr>
          <w:rtl/>
        </w:rPr>
        <w:t xml:space="preserve"> [الرقابة في المرآة]، ص 669.)</w:t>
      </w:r>
    </w:p>
  </w:footnote>
  <w:footnote w:id="30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b/>
          <w:bCs/>
          <w:rtl/>
        </w:rPr>
        <w:t>المصدر نفسه</w:t>
      </w:r>
      <w:r w:rsidRPr="006E28E9">
        <w:rPr>
          <w:rtl/>
        </w:rPr>
        <w:t>.</w:t>
      </w:r>
    </w:p>
  </w:footnote>
  <w:footnote w:id="305">
    <w:p w:rsidR="008C7124" w:rsidRPr="006E28E9" w:rsidRDefault="008C7124" w:rsidP="0092648A">
      <w:pPr>
        <w:pStyle w:val="FootnoteText"/>
        <w:rPr>
          <w:rStyle w:val="FootnoteReference"/>
          <w:vertAlign w:val="baseline"/>
          <w:rtl/>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b/>
          <w:bCs/>
          <w:rtl/>
          <w:lang w:bidi="ar-SY"/>
        </w:rPr>
        <w:t>المصدر نفسه</w:t>
      </w:r>
      <w:r w:rsidRPr="006E28E9">
        <w:rPr>
          <w:rtl/>
          <w:lang w:bidi="ar-SY"/>
        </w:rPr>
        <w:t>، ص 41.</w:t>
      </w:r>
    </w:p>
  </w:footnote>
  <w:footnote w:id="30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8C7124">
        <w:rPr>
          <w:rStyle w:val="Char9"/>
          <w:rFonts w:hint="cs"/>
          <w:sz w:val="20"/>
          <w:szCs w:val="20"/>
          <w:rtl/>
        </w:rPr>
        <w:t xml:space="preserve"> </w:t>
      </w:r>
      <w:r w:rsidRPr="008C7124">
        <w:rPr>
          <w:rStyle w:val="Char9"/>
          <w:sz w:val="20"/>
          <w:szCs w:val="20"/>
          <w:rtl/>
        </w:rPr>
        <w:t>سان</w:t>
      </w:r>
      <w:r w:rsidRPr="008C7124">
        <w:rPr>
          <w:rStyle w:val="Char9"/>
          <w:rFonts w:hint="cs"/>
          <w:sz w:val="20"/>
          <w:szCs w:val="20"/>
          <w:rtl/>
        </w:rPr>
        <w:t>س</w:t>
      </w:r>
      <w:r w:rsidRPr="008C7124">
        <w:rPr>
          <w:rStyle w:val="Char9"/>
          <w:sz w:val="20"/>
          <w:szCs w:val="20"/>
          <w:rtl/>
        </w:rPr>
        <w:t>ور در آ</w:t>
      </w:r>
      <w:r>
        <w:rPr>
          <w:rStyle w:val="Char9"/>
          <w:sz w:val="20"/>
          <w:szCs w:val="20"/>
          <w:rtl/>
        </w:rPr>
        <w:t>ی</w:t>
      </w:r>
      <w:r w:rsidRPr="008C7124">
        <w:rPr>
          <w:rStyle w:val="Char9"/>
          <w:rFonts w:hint="cs"/>
          <w:sz w:val="20"/>
          <w:szCs w:val="20"/>
          <w:rtl/>
        </w:rPr>
        <w:t>نه</w:t>
      </w:r>
      <w:r w:rsidRPr="006E28E9">
        <w:rPr>
          <w:rtl/>
          <w:lang w:bidi="ar-SY"/>
        </w:rPr>
        <w:t>، ص 605، العدد 3466.</w:t>
      </w:r>
    </w:p>
  </w:footnote>
  <w:footnote w:id="30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ملاحظة: عناوين الكتب كلها بالفارسية وما ذكرته هو ترجمة تلك العناوين إلى العربية. (المُتَرْجِمُ)</w:t>
      </w:r>
    </w:p>
  </w:footnote>
  <w:footnote w:id="30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أما مؤلفاته الموجودة في مكتبة إيران الوطنية فهي: </w:t>
      </w:r>
      <w:r w:rsidRPr="006E28E9">
        <w:rPr>
          <w:rStyle w:val="FootnoteReference"/>
          <w:rFonts w:hint="cs"/>
          <w:b/>
          <w:bCs/>
          <w:vertAlign w:val="baseline"/>
          <w:rtl/>
        </w:rPr>
        <w:t>ترجمة القرآن وتفسيره حسب ترتيب نزول السور</w:t>
      </w:r>
      <w:r w:rsidRPr="006E28E9">
        <w:rPr>
          <w:rStyle w:val="FootnoteReference"/>
          <w:rFonts w:hint="cs"/>
          <w:vertAlign w:val="baseline"/>
          <w:rtl/>
        </w:rPr>
        <w:t xml:space="preserve">، </w:t>
      </w:r>
      <w:r w:rsidRPr="006E28E9">
        <w:rPr>
          <w:rStyle w:val="FootnoteReference"/>
          <w:rFonts w:hint="cs"/>
          <w:b/>
          <w:bCs/>
          <w:vertAlign w:val="baseline"/>
          <w:rtl/>
        </w:rPr>
        <w:t>كيفية الجبر والاختيار في المجتمع</w:t>
      </w:r>
      <w:r w:rsidRPr="006E28E9">
        <w:rPr>
          <w:rStyle w:val="FootnoteReference"/>
          <w:rFonts w:hint="cs"/>
          <w:vertAlign w:val="baseline"/>
          <w:rtl/>
        </w:rPr>
        <w:t xml:space="preserve">، </w:t>
      </w:r>
      <w:r w:rsidRPr="006E28E9">
        <w:rPr>
          <w:rStyle w:val="FootnoteReference"/>
          <w:rFonts w:hint="cs"/>
          <w:b/>
          <w:bCs/>
          <w:vertAlign w:val="baseline"/>
          <w:rtl/>
        </w:rPr>
        <w:t>رسالة في الجبر والاختيار</w:t>
      </w:r>
      <w:r w:rsidRPr="006E28E9">
        <w:rPr>
          <w:rStyle w:val="FootnoteReference"/>
          <w:rFonts w:hint="cs"/>
          <w:vertAlign w:val="baseline"/>
          <w:rtl/>
        </w:rPr>
        <w:t xml:space="preserve">؛ </w:t>
      </w:r>
      <w:r w:rsidRPr="006E28E9">
        <w:rPr>
          <w:rStyle w:val="FootnoteReference"/>
          <w:rFonts w:hint="cs"/>
          <w:b/>
          <w:bCs/>
          <w:vertAlign w:val="baseline"/>
          <w:rtl/>
        </w:rPr>
        <w:t>المواد الأساسية للحكومة في الإسلام</w:t>
      </w:r>
      <w:r w:rsidRPr="006E28E9">
        <w:rPr>
          <w:rStyle w:val="FootnoteReference"/>
          <w:rFonts w:hint="cs"/>
          <w:vertAlign w:val="baseline"/>
          <w:rtl/>
        </w:rPr>
        <w:t xml:space="preserve">؛ </w:t>
      </w:r>
      <w:r w:rsidRPr="006E28E9">
        <w:rPr>
          <w:rStyle w:val="FootnoteReference"/>
          <w:rFonts w:hint="cs"/>
          <w:b/>
          <w:bCs/>
          <w:vertAlign w:val="baseline"/>
          <w:rtl/>
        </w:rPr>
        <w:t>منهج جديد وعلمي لإزالة جميع الاختلافات الجزئية بين المسلمين</w:t>
      </w:r>
      <w:r w:rsidRPr="006E28E9">
        <w:rPr>
          <w:rStyle w:val="FootnoteReference"/>
          <w:rFonts w:hint="cs"/>
          <w:vertAlign w:val="baseline"/>
          <w:rtl/>
        </w:rPr>
        <w:t xml:space="preserve">؛ </w:t>
      </w:r>
      <w:r w:rsidRPr="006E28E9">
        <w:rPr>
          <w:rStyle w:val="FootnoteReference"/>
          <w:rFonts w:hint="cs"/>
          <w:b/>
          <w:bCs/>
          <w:vertAlign w:val="baseline"/>
          <w:rtl/>
        </w:rPr>
        <w:t>كيف نصلي؟</w:t>
      </w:r>
      <w:r w:rsidRPr="006E28E9">
        <w:rPr>
          <w:rStyle w:val="FootnoteReference"/>
          <w:rFonts w:hint="cs"/>
          <w:vertAlign w:val="baseline"/>
          <w:rtl/>
        </w:rPr>
        <w:t xml:space="preserve">؛ </w:t>
      </w:r>
      <w:r w:rsidRPr="006E28E9">
        <w:rPr>
          <w:rStyle w:val="FootnoteReference"/>
          <w:rFonts w:hint="cs"/>
          <w:b/>
          <w:bCs/>
          <w:vertAlign w:val="baseline"/>
          <w:rtl/>
        </w:rPr>
        <w:t>الطريق الصحيح لإزالة الاختلافات بين المسلمين</w:t>
      </w:r>
      <w:r w:rsidRPr="006E28E9">
        <w:rPr>
          <w:rStyle w:val="FootnoteReference"/>
          <w:rFonts w:hint="cs"/>
          <w:vertAlign w:val="baseline"/>
          <w:rtl/>
        </w:rPr>
        <w:t>؛ طبع ارژنگ، 1351 هـ.ش [1972م].</w:t>
      </w:r>
    </w:p>
  </w:footnote>
  <w:footnote w:id="30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كتب لي أحد الأصدقاء موضِّحاً هذا الأمر: إن تعاون السيد صادق تقوي وميمندي نژاد كان من المسائل المحيرة والعجيبة. في ذلك الزمن كان يُقال</w:t>
      </w:r>
      <w:r w:rsidRPr="006E28E9">
        <w:rPr>
          <w:rFonts w:hint="cs"/>
          <w:rtl/>
        </w:rPr>
        <w:t>:</w:t>
      </w:r>
      <w:r w:rsidRPr="006E28E9">
        <w:rPr>
          <w:rStyle w:val="FootnoteReference"/>
          <w:rFonts w:hint="cs"/>
          <w:vertAlign w:val="baseline"/>
          <w:rtl/>
        </w:rPr>
        <w:t xml:space="preserve"> إن بين الشخصين قاسم مشترك كبير في بعض المساوئ الأخلاقية. والله أعلم بأحوال عباده. والذي أذكره عن السيد صادق تقوي أنه أجاز الزنى في مقالة نشرها في مجلة </w:t>
      </w:r>
      <w:r w:rsidRPr="008C7124">
        <w:rPr>
          <w:rStyle w:val="Char9"/>
          <w:rFonts w:hint="cs"/>
          <w:sz w:val="20"/>
          <w:szCs w:val="20"/>
          <w:rtl/>
        </w:rPr>
        <w:t>رنگ</w:t>
      </w:r>
      <w:r>
        <w:rPr>
          <w:rStyle w:val="Char9"/>
          <w:rFonts w:hint="cs"/>
          <w:sz w:val="20"/>
          <w:szCs w:val="20"/>
          <w:rtl/>
        </w:rPr>
        <w:t>ی</w:t>
      </w:r>
      <w:r w:rsidRPr="008C7124">
        <w:rPr>
          <w:rStyle w:val="Char9"/>
          <w:rFonts w:hint="cs"/>
          <w:sz w:val="20"/>
          <w:szCs w:val="20"/>
          <w:rtl/>
        </w:rPr>
        <w:t xml:space="preserve">ن </w:t>
      </w:r>
      <w:r>
        <w:rPr>
          <w:rStyle w:val="Char9"/>
          <w:rFonts w:hint="cs"/>
          <w:sz w:val="20"/>
          <w:szCs w:val="20"/>
          <w:rtl/>
        </w:rPr>
        <w:t>ک</w:t>
      </w:r>
      <w:r w:rsidRPr="008C7124">
        <w:rPr>
          <w:rStyle w:val="Char9"/>
          <w:rFonts w:hint="cs"/>
          <w:sz w:val="20"/>
          <w:szCs w:val="20"/>
          <w:rtl/>
        </w:rPr>
        <w:t>مان</w:t>
      </w:r>
      <w:r w:rsidRPr="006E28E9">
        <w:rPr>
          <w:rStyle w:val="FootnoteReference"/>
          <w:rFonts w:hint="cs"/>
          <w:vertAlign w:val="baseline"/>
          <w:rtl/>
        </w:rPr>
        <w:t xml:space="preserve"> باعتباره نوعاً من نكاح «ما ملكت أيمانكم»، مستدلاً بأن البغايا والمومسات هم بمثابة الرقيق. وقد رأيتُ بعد ذلك أن بعض المفتين العثمانيين طرحوا مثل هذا القياس من باب ب</w:t>
      </w:r>
      <w:r w:rsidRPr="006E28E9">
        <w:rPr>
          <w:rFonts w:hint="cs"/>
          <w:rtl/>
        </w:rPr>
        <w:t>َ</w:t>
      </w:r>
      <w:r w:rsidRPr="006E28E9">
        <w:rPr>
          <w:rStyle w:val="FootnoteReference"/>
          <w:rFonts w:hint="cs"/>
          <w:vertAlign w:val="baseline"/>
          <w:rtl/>
        </w:rPr>
        <w:t>ذْل الأُجْرة وتملُّك منفعة البضع. هذا رغم أن تقوي لم يكن له علم بهذه السابقة بالتأكيد.</w:t>
      </w:r>
    </w:p>
  </w:footnote>
  <w:footnote w:id="31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 </w:t>
      </w:r>
      <w:r w:rsidRPr="006E28E9">
        <w:rPr>
          <w:rStyle w:val="FootnoteReference"/>
          <w:rFonts w:hint="cs"/>
          <w:b/>
          <w:bCs/>
          <w:vertAlign w:val="baseline"/>
          <w:rtl/>
        </w:rPr>
        <w:t>مطبوعات عصر بهلوي</w:t>
      </w:r>
      <w:r w:rsidRPr="006E28E9">
        <w:rPr>
          <w:rStyle w:val="FootnoteReference"/>
          <w:rFonts w:hint="cs"/>
          <w:vertAlign w:val="baseline"/>
          <w:rtl/>
        </w:rPr>
        <w:t xml:space="preserve">، مجلة </w:t>
      </w:r>
      <w:r w:rsidRPr="006E28E9">
        <w:rPr>
          <w:rStyle w:val="FootnoteReference"/>
          <w:rFonts w:hint="cs"/>
          <w:b/>
          <w:bCs/>
          <w:vertAlign w:val="baseline"/>
          <w:rtl/>
        </w:rPr>
        <w:t>رنگين كمان</w:t>
      </w:r>
      <w:r w:rsidRPr="006E28E9">
        <w:rPr>
          <w:rStyle w:val="FootnoteReference"/>
          <w:rFonts w:hint="cs"/>
          <w:vertAlign w:val="baseline"/>
          <w:rtl/>
        </w:rPr>
        <w:t xml:space="preserve"> (طهران، 1379 هـ.ش)، ص 34-36. </w:t>
      </w:r>
      <w:r w:rsidRPr="006E28E9">
        <w:rPr>
          <w:rStyle w:val="FootnoteReference"/>
          <w:vertAlign w:val="baseline"/>
          <w:rtl/>
        </w:rPr>
        <w:t xml:space="preserve">كتب السيد مصطفى البرقعي خلال رسالة وجهها إلى المسؤولين في البلاد حول أحد المقالات التي نُشِرَت في مجلة </w:t>
      </w:r>
      <w:r w:rsidRPr="006E28E9">
        <w:rPr>
          <w:rStyle w:val="FootnoteReference"/>
          <w:b/>
          <w:bCs/>
          <w:vertAlign w:val="baseline"/>
          <w:rtl/>
        </w:rPr>
        <w:t>رنگين كمان</w:t>
      </w:r>
      <w:r w:rsidRPr="006E28E9">
        <w:rPr>
          <w:rStyle w:val="FootnoteReference"/>
          <w:vertAlign w:val="baseline"/>
          <w:rtl/>
        </w:rPr>
        <w:t xml:space="preserve"> يقول: رأيت في مجلة </w:t>
      </w:r>
      <w:r w:rsidRPr="006E28E9">
        <w:rPr>
          <w:rStyle w:val="FootnoteReference"/>
          <w:b/>
          <w:bCs/>
          <w:vertAlign w:val="baseline"/>
          <w:rtl/>
        </w:rPr>
        <w:t>رنگين كمان</w:t>
      </w:r>
      <w:r w:rsidRPr="006E28E9">
        <w:rPr>
          <w:rStyle w:val="FootnoteReference"/>
          <w:vertAlign w:val="baseline"/>
          <w:rtl/>
        </w:rPr>
        <w:t xml:space="preserve"> عدداً من الموضوعات أعرضها على سعادتكم على نحو الاختصار كما يأتي: كتاب </w:t>
      </w:r>
      <w:r w:rsidRPr="006E28E9">
        <w:rPr>
          <w:rStyle w:val="FootnoteReference"/>
          <w:b/>
          <w:bCs/>
          <w:vertAlign w:val="baseline"/>
          <w:rtl/>
        </w:rPr>
        <w:t>مفاتيح الجنان</w:t>
      </w:r>
      <w:r w:rsidRPr="006E28E9">
        <w:rPr>
          <w:rStyle w:val="FootnoteReference"/>
          <w:vertAlign w:val="baseline"/>
          <w:rtl/>
        </w:rPr>
        <w:t xml:space="preserve"> للمر</w:t>
      </w:r>
      <w:r w:rsidRPr="006E28E9">
        <w:rPr>
          <w:rStyle w:val="FootnoteReference"/>
          <w:rFonts w:hint="cs"/>
          <w:vertAlign w:val="baseline"/>
          <w:rtl/>
        </w:rPr>
        <w:t>ح</w:t>
      </w:r>
      <w:r w:rsidRPr="006E28E9">
        <w:rPr>
          <w:rStyle w:val="FootnoteReference"/>
          <w:vertAlign w:val="baseline"/>
          <w:rtl/>
        </w:rPr>
        <w:t xml:space="preserve">وم </w:t>
      </w:r>
      <w:r w:rsidRPr="006E28E9">
        <w:rPr>
          <w:rFonts w:hint="cs"/>
          <w:rtl/>
        </w:rPr>
        <w:t>ال</w:t>
      </w:r>
      <w:r w:rsidRPr="006E28E9">
        <w:rPr>
          <w:rStyle w:val="FootnoteReference"/>
          <w:vertAlign w:val="baseline"/>
          <w:rtl/>
        </w:rPr>
        <w:t xml:space="preserve">محدِّث القمي مليء بالأمور المخْتَرَعة الموضوعة والخرافات الإسرائيليات. وُصِف الشيخ الصدوق والكُلَيْني بأنهما </w:t>
      </w:r>
      <w:r w:rsidRPr="006E28E9">
        <w:rPr>
          <w:rFonts w:hint="cs"/>
          <w:rtl/>
        </w:rPr>
        <w:t>وُلِدَا ل</w:t>
      </w:r>
      <w:r w:rsidRPr="006E28E9">
        <w:rPr>
          <w:rStyle w:val="FootnoteReference"/>
          <w:vertAlign w:val="baseline"/>
          <w:rtl/>
        </w:rPr>
        <w:t xml:space="preserve">آباء يهود. قيل إن حديث الغدير </w:t>
      </w:r>
      <w:r w:rsidRPr="006E28E9">
        <w:rPr>
          <w:rFonts w:hint="cs"/>
          <w:rtl/>
        </w:rPr>
        <w:t xml:space="preserve">حديث موضوع </w:t>
      </w:r>
      <w:r w:rsidRPr="006E28E9">
        <w:rPr>
          <w:rStyle w:val="FootnoteReference"/>
          <w:vertAlign w:val="baseline"/>
          <w:rtl/>
        </w:rPr>
        <w:t xml:space="preserve">وضعه شخصان إيرانيان. إنكار الشفاعة بشكل كامل </w:t>
      </w:r>
      <w:r w:rsidRPr="006E28E9">
        <w:rPr>
          <w:rStyle w:val="FootnoteReference"/>
          <w:rFonts w:hint="cs"/>
          <w:vertAlign w:val="baseline"/>
          <w:rtl/>
        </w:rPr>
        <w:t>م</w:t>
      </w:r>
      <w:r w:rsidRPr="006E28E9">
        <w:rPr>
          <w:rFonts w:hint="cs"/>
          <w:rtl/>
        </w:rPr>
        <w:t>ع وصف</w:t>
      </w:r>
      <w:r w:rsidRPr="006E28E9">
        <w:rPr>
          <w:rStyle w:val="FootnoteReference"/>
          <w:vertAlign w:val="baseline"/>
          <w:rtl/>
        </w:rPr>
        <w:t xml:space="preserve"> الشفاعة بأنها نوع من الواسطة والمحسوبية في الآخرة. رغم ادعاء صاحب أحد المقالات بأنه مسلم إلا أنه أنكر الدعاء</w:t>
      </w:r>
      <w:r w:rsidRPr="006E28E9">
        <w:rPr>
          <w:rStyle w:val="FootnoteReference"/>
          <w:rFonts w:hint="cs"/>
          <w:vertAlign w:val="baseline"/>
          <w:rtl/>
        </w:rPr>
        <w:t>،</w:t>
      </w:r>
      <w:r w:rsidRPr="006E28E9">
        <w:rPr>
          <w:rStyle w:val="FootnoteReference"/>
          <w:vertAlign w:val="baseline"/>
          <w:rtl/>
        </w:rPr>
        <w:t xml:space="preserve"> واستهزأ بأحاديث المعصومين كلها واعتبرها بأجمعها كلاماً موضوعاً مُخْتَلَقاً وخرافات (لاحظوا تفصيل هذه الأمور في الأعداد من 1 إلى 14 من السنة الثامنة لمجلة </w:t>
      </w:r>
      <w:r w:rsidRPr="008C7124">
        <w:rPr>
          <w:rStyle w:val="Char9"/>
          <w:sz w:val="20"/>
          <w:szCs w:val="20"/>
          <w:rtl/>
        </w:rPr>
        <w:t>رنگ</w:t>
      </w:r>
      <w:r>
        <w:rPr>
          <w:rStyle w:val="Char9"/>
          <w:sz w:val="20"/>
          <w:szCs w:val="20"/>
          <w:rtl/>
        </w:rPr>
        <w:t>ی</w:t>
      </w:r>
      <w:r w:rsidRPr="008C7124">
        <w:rPr>
          <w:rStyle w:val="Char9"/>
          <w:sz w:val="20"/>
          <w:szCs w:val="20"/>
          <w:rtl/>
        </w:rPr>
        <w:t xml:space="preserve">ن </w:t>
      </w:r>
      <w:r>
        <w:rPr>
          <w:rStyle w:val="Char9"/>
          <w:sz w:val="20"/>
          <w:szCs w:val="20"/>
          <w:rtl/>
        </w:rPr>
        <w:t>ک</w:t>
      </w:r>
      <w:r w:rsidRPr="008C7124">
        <w:rPr>
          <w:rStyle w:val="Char9"/>
          <w:sz w:val="20"/>
          <w:szCs w:val="20"/>
          <w:rtl/>
        </w:rPr>
        <w:t>مان</w:t>
      </w:r>
      <w:r w:rsidRPr="006E28E9">
        <w:rPr>
          <w:rStyle w:val="FootnoteReference"/>
          <w:vertAlign w:val="baseline"/>
          <w:rtl/>
        </w:rPr>
        <w:t xml:space="preserve">). </w:t>
      </w:r>
      <w:r w:rsidRPr="006E28E9">
        <w:rPr>
          <w:rFonts w:hint="cs"/>
          <w:rtl/>
        </w:rPr>
        <w:t>و</w:t>
      </w:r>
      <w:r w:rsidRPr="006E28E9">
        <w:rPr>
          <w:rStyle w:val="FootnoteReference"/>
          <w:vertAlign w:val="baseline"/>
          <w:rtl/>
        </w:rPr>
        <w:t xml:space="preserve">انظروا بشأن وجهات نظر ميمندي نژاد حول خرافية عقائد الشيعة الرائجة، وكون الشيخ الصدوق والكُلَيْني والمجلسي من الغلاة وغير ذلك من الأمور، والآراء الفاضلة لذلك </w:t>
      </w:r>
      <w:r w:rsidRPr="006E28E9">
        <w:rPr>
          <w:rStyle w:val="FootnoteReference"/>
          <w:rFonts w:hint="cs"/>
          <w:vertAlign w:val="baseline"/>
          <w:rtl/>
        </w:rPr>
        <w:t>الك</w:t>
      </w:r>
      <w:r w:rsidRPr="006E28E9">
        <w:rPr>
          <w:rFonts w:hint="cs"/>
          <w:rtl/>
        </w:rPr>
        <w:t>اتب</w:t>
      </w:r>
      <w:r w:rsidRPr="006E28E9">
        <w:rPr>
          <w:rStyle w:val="FootnoteReference"/>
          <w:vertAlign w:val="baseline"/>
          <w:rtl/>
        </w:rPr>
        <w:t xml:space="preserve">: </w:t>
      </w:r>
      <w:r w:rsidRPr="006E28E9">
        <w:rPr>
          <w:rStyle w:val="FootnoteReference"/>
          <w:b/>
          <w:bCs/>
          <w:vertAlign w:val="baseline"/>
          <w:rtl/>
        </w:rPr>
        <w:t>مطبوعات عصر بهلوي</w:t>
      </w:r>
      <w:r w:rsidRPr="006E28E9">
        <w:rPr>
          <w:rStyle w:val="FootnoteReference"/>
          <w:vertAlign w:val="baseline"/>
          <w:rtl/>
        </w:rPr>
        <w:t xml:space="preserve">، </w:t>
      </w:r>
      <w:r w:rsidRPr="006E28E9">
        <w:rPr>
          <w:rStyle w:val="FootnoteReference"/>
          <w:b/>
          <w:bCs/>
          <w:vertAlign w:val="baseline"/>
          <w:rtl/>
        </w:rPr>
        <w:t>رنگين كمان</w:t>
      </w:r>
      <w:r w:rsidRPr="006E28E9">
        <w:rPr>
          <w:rStyle w:val="FootnoteReference"/>
          <w:vertAlign w:val="baseline"/>
          <w:rtl/>
        </w:rPr>
        <w:t xml:space="preserve">، ص 196 - 198. </w:t>
      </w:r>
      <w:r w:rsidRPr="006E28E9">
        <w:rPr>
          <w:rStyle w:val="FootnoteReference"/>
          <w:rFonts w:hint="cs"/>
          <w:vertAlign w:val="baseline"/>
          <w:rtl/>
        </w:rPr>
        <w:t>ت</w:t>
      </w:r>
      <w:r w:rsidRPr="006E28E9">
        <w:rPr>
          <w:rFonts w:hint="cs"/>
          <w:rtl/>
        </w:rPr>
        <w:t>زامن</w:t>
      </w:r>
      <w:r w:rsidRPr="006E28E9">
        <w:rPr>
          <w:rStyle w:val="FootnoteReference"/>
          <w:vertAlign w:val="baseline"/>
          <w:rtl/>
        </w:rPr>
        <w:t xml:space="preserve"> طرح مثل </w:t>
      </w:r>
      <w:r w:rsidRPr="006E28E9">
        <w:rPr>
          <w:rStyle w:val="FootnoteReference"/>
          <w:rFonts w:hint="cs"/>
          <w:vertAlign w:val="baseline"/>
          <w:rtl/>
        </w:rPr>
        <w:t>تل</w:t>
      </w:r>
      <w:r w:rsidRPr="006E28E9">
        <w:rPr>
          <w:rFonts w:hint="cs"/>
          <w:rtl/>
        </w:rPr>
        <w:t>ك</w:t>
      </w:r>
      <w:r w:rsidRPr="006E28E9">
        <w:rPr>
          <w:rStyle w:val="FootnoteReference"/>
          <w:vertAlign w:val="baseline"/>
          <w:rtl/>
        </w:rPr>
        <w:t xml:space="preserve"> المباحث في مجلة </w:t>
      </w:r>
      <w:r w:rsidRPr="006E28E9">
        <w:rPr>
          <w:rStyle w:val="FootnoteReference"/>
          <w:b/>
          <w:bCs/>
          <w:vertAlign w:val="baseline"/>
          <w:rtl/>
        </w:rPr>
        <w:t>رنگين كمان</w:t>
      </w:r>
      <w:r w:rsidRPr="006E28E9">
        <w:rPr>
          <w:rStyle w:val="FootnoteReference"/>
          <w:vertAlign w:val="baseline"/>
          <w:rtl/>
        </w:rPr>
        <w:t xml:space="preserve"> </w:t>
      </w:r>
      <w:r w:rsidRPr="006E28E9">
        <w:rPr>
          <w:rStyle w:val="FootnoteReference"/>
          <w:rFonts w:hint="cs"/>
          <w:vertAlign w:val="baseline"/>
          <w:rtl/>
        </w:rPr>
        <w:t>ب</w:t>
      </w:r>
      <w:r w:rsidRPr="006E28E9">
        <w:rPr>
          <w:rStyle w:val="FootnoteReference"/>
          <w:vertAlign w:val="baseline"/>
          <w:rtl/>
        </w:rPr>
        <w:t>اعتراض</w:t>
      </w:r>
      <w:r w:rsidRPr="006E28E9">
        <w:rPr>
          <w:rFonts w:hint="cs"/>
          <w:rtl/>
        </w:rPr>
        <w:t>ات</w:t>
      </w:r>
      <w:r w:rsidRPr="006E28E9">
        <w:rPr>
          <w:rStyle w:val="FootnoteReference"/>
          <w:vertAlign w:val="baseline"/>
          <w:rtl/>
        </w:rPr>
        <w:t xml:space="preserve"> مكتب آية الله گلپايگاني عليها. انظروا: </w:t>
      </w:r>
      <w:r w:rsidRPr="008C7124">
        <w:rPr>
          <w:rStyle w:val="Char9"/>
          <w:sz w:val="20"/>
          <w:szCs w:val="20"/>
          <w:rtl/>
        </w:rPr>
        <w:t>زندگىنامه آ</w:t>
      </w:r>
      <w:r>
        <w:rPr>
          <w:rStyle w:val="Char9"/>
          <w:sz w:val="20"/>
          <w:szCs w:val="20"/>
          <w:rtl/>
        </w:rPr>
        <w:t>ی</w:t>
      </w:r>
      <w:r w:rsidRPr="008C7124">
        <w:rPr>
          <w:rStyle w:val="Char9"/>
          <w:sz w:val="20"/>
          <w:szCs w:val="20"/>
          <w:rtl/>
        </w:rPr>
        <w:t>ت الله گلپا</w:t>
      </w:r>
      <w:r>
        <w:rPr>
          <w:rStyle w:val="Char9"/>
          <w:sz w:val="20"/>
          <w:szCs w:val="20"/>
          <w:rtl/>
        </w:rPr>
        <w:t>ی</w:t>
      </w:r>
      <w:r w:rsidRPr="008C7124">
        <w:rPr>
          <w:rStyle w:val="Char9"/>
          <w:sz w:val="20"/>
          <w:szCs w:val="20"/>
          <w:rtl/>
        </w:rPr>
        <w:t>گانى</w:t>
      </w:r>
      <w:r w:rsidRPr="006E28E9">
        <w:rPr>
          <w:rStyle w:val="FootnoteReference"/>
          <w:vertAlign w:val="baseline"/>
          <w:rtl/>
        </w:rPr>
        <w:t xml:space="preserve"> [سيرة حياة آية الله </w:t>
      </w:r>
      <w:r w:rsidRPr="006E28E9">
        <w:rPr>
          <w:rFonts w:hint="cs"/>
          <w:rtl/>
        </w:rPr>
        <w:t>ال</w:t>
      </w:r>
      <w:r w:rsidRPr="006E28E9">
        <w:rPr>
          <w:rStyle w:val="FootnoteReference"/>
          <w:vertAlign w:val="baseline"/>
          <w:rtl/>
        </w:rPr>
        <w:t>گلپايگاني]،  ص 369.</w:t>
      </w:r>
    </w:p>
  </w:footnote>
  <w:footnote w:id="31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أربعة وخمسون أ</w:t>
      </w:r>
      <w:r w:rsidRPr="006E28E9">
        <w:rPr>
          <w:rFonts w:hint="cs"/>
          <w:b/>
          <w:bCs/>
          <w:rtl/>
        </w:rPr>
        <w:t>صلاً</w:t>
      </w:r>
      <w:r w:rsidRPr="006E28E9">
        <w:rPr>
          <w:rStyle w:val="FootnoteReference"/>
          <w:rFonts w:hint="cs"/>
          <w:vertAlign w:val="baseline"/>
          <w:rtl/>
        </w:rPr>
        <w:t xml:space="preserve"> (أو بعبارة أخرى 56 أ</w:t>
      </w:r>
      <w:r w:rsidRPr="006E28E9">
        <w:rPr>
          <w:rFonts w:hint="cs"/>
          <w:rtl/>
        </w:rPr>
        <w:t>صلاً</w:t>
      </w:r>
      <w:r w:rsidRPr="006E28E9">
        <w:rPr>
          <w:rStyle w:val="FootnoteReference"/>
          <w:rFonts w:hint="cs"/>
          <w:vertAlign w:val="baseline"/>
          <w:rtl/>
        </w:rPr>
        <w:t>، وذلك بسبب تكرار ا</w:t>
      </w:r>
      <w:r w:rsidRPr="006E28E9">
        <w:rPr>
          <w:rFonts w:hint="cs"/>
          <w:rtl/>
        </w:rPr>
        <w:t>لأصلين</w:t>
      </w:r>
      <w:r w:rsidRPr="006E28E9">
        <w:rPr>
          <w:rStyle w:val="FootnoteReference"/>
          <w:rFonts w:hint="cs"/>
          <w:vertAlign w:val="baseline"/>
          <w:rtl/>
        </w:rPr>
        <w:t xml:space="preserve"> 5 و19). بعد مقدمة بيّن فيها الاختلاف والتفاوت بين الحكومة الإسلامية وسائر حكومات الدنيا، شرح المؤلف هذا الدستور ف</w:t>
      </w:r>
      <w:r w:rsidRPr="006E28E9">
        <w:rPr>
          <w:rFonts w:hint="cs"/>
          <w:rtl/>
        </w:rPr>
        <w:t>ي</w:t>
      </w:r>
      <w:r w:rsidRPr="006E28E9">
        <w:rPr>
          <w:rStyle w:val="FootnoteReference"/>
          <w:rFonts w:hint="cs"/>
          <w:vertAlign w:val="baseline"/>
          <w:rtl/>
        </w:rPr>
        <w:t xml:space="preserve"> أ</w:t>
      </w:r>
      <w:r w:rsidRPr="006E28E9">
        <w:rPr>
          <w:rFonts w:hint="cs"/>
          <w:rtl/>
        </w:rPr>
        <w:t>حد</w:t>
      </w:r>
      <w:r w:rsidRPr="006E28E9">
        <w:rPr>
          <w:rStyle w:val="FootnoteReference"/>
          <w:rFonts w:hint="cs"/>
          <w:vertAlign w:val="baseline"/>
          <w:rtl/>
        </w:rPr>
        <w:t xml:space="preserve"> عشر فصلاً على النحو الآتي:</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أ- الأصول التربوية للحكومة الإسلامية.</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ب - الأصول المتعلقة بانتخاب حكام البلاد (الهيئة الحاكمة).</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ج - الأصول المتعلقة بالأجانب.</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د - الأصول المتعلقة بواجبات المسؤولين والشعب.</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ه</w:t>
      </w:r>
      <w:r w:rsidRPr="006E28E9">
        <w:rPr>
          <w:rFonts w:hint="cs"/>
          <w:rtl/>
        </w:rPr>
        <w:t>ـ</w:t>
      </w:r>
      <w:r w:rsidRPr="006E28E9">
        <w:rPr>
          <w:rStyle w:val="FootnoteReference"/>
          <w:rFonts w:hint="cs"/>
          <w:vertAlign w:val="baseline"/>
          <w:rtl/>
        </w:rPr>
        <w:t xml:space="preserve"> - أصول الإسلام الاقتصادية.</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و - الأصول المتعلقة بملكية الأرض وبالسكن.</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ز - الأصول المتعلقة بالعمل والعمال.</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ح - الأصول المتعلقة بالأمور العسكرية وجيش المسلمين.</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ط - الأصول المتعلقة بمعاقبة المفسدين والمجرمين.</w:t>
      </w:r>
    </w:p>
    <w:p w:rsidR="008C7124" w:rsidRPr="006E28E9" w:rsidRDefault="008C7124" w:rsidP="001809AD">
      <w:pPr>
        <w:pStyle w:val="FootnoteText"/>
        <w:ind w:firstLine="0"/>
        <w:rPr>
          <w:rStyle w:val="FootnoteReference"/>
          <w:vertAlign w:val="baseline"/>
          <w:rtl/>
        </w:rPr>
      </w:pPr>
      <w:r w:rsidRPr="006E28E9">
        <w:rPr>
          <w:rStyle w:val="FootnoteReference"/>
          <w:rFonts w:hint="cs"/>
          <w:vertAlign w:val="baseline"/>
          <w:rtl/>
        </w:rPr>
        <w:t>ي - الأصول المتعلقة بإيرادات الدولة الإسلامية ونفقاتها.</w:t>
      </w:r>
    </w:p>
    <w:p w:rsidR="008C7124" w:rsidRPr="006E28E9" w:rsidRDefault="008C7124" w:rsidP="001809AD">
      <w:pPr>
        <w:pStyle w:val="FootnoteText"/>
        <w:ind w:firstLine="0"/>
        <w:rPr>
          <w:rStyle w:val="FootnoteReference"/>
          <w:vertAlign w:val="baseline"/>
        </w:rPr>
      </w:pPr>
      <w:r w:rsidRPr="006E28E9">
        <w:rPr>
          <w:rStyle w:val="FootnoteReference"/>
          <w:rFonts w:hint="cs"/>
          <w:vertAlign w:val="baseline"/>
          <w:rtl/>
        </w:rPr>
        <w:t>ك - الأصول المتعلقة بمؤسسات الحكومة الإسلامية وتنظيمات</w:t>
      </w:r>
      <w:r w:rsidRPr="006E28E9">
        <w:rPr>
          <w:rFonts w:hint="cs"/>
          <w:rtl/>
        </w:rPr>
        <w:t>ها</w:t>
      </w:r>
      <w:r w:rsidRPr="006E28E9">
        <w:rPr>
          <w:rStyle w:val="FootnoteReference"/>
          <w:rFonts w:hint="cs"/>
          <w:vertAlign w:val="baseline"/>
          <w:rtl/>
        </w:rPr>
        <w:t>.</w:t>
      </w:r>
    </w:p>
  </w:footnote>
  <w:footnote w:id="31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w:t>
      </w:r>
      <w:r w:rsidRPr="006E28E9">
        <w:rPr>
          <w:rFonts w:hint="cs"/>
          <w:rtl/>
        </w:rPr>
        <w:t>،</w:t>
      </w:r>
      <w:r w:rsidRPr="006E28E9">
        <w:rPr>
          <w:rStyle w:val="FootnoteReference"/>
          <w:rFonts w:hint="cs"/>
          <w:vertAlign w:val="baseline"/>
          <w:rtl/>
        </w:rPr>
        <w:t xml:space="preserve"> ص 9.</w:t>
      </w:r>
    </w:p>
  </w:footnote>
  <w:footnote w:id="31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طُبِعَ عدد من المؤلفات لجعفر شعار من جملتها «</w:t>
      </w:r>
      <w:r w:rsidRPr="008C7124">
        <w:rPr>
          <w:rStyle w:val="Char9"/>
          <w:rFonts w:hint="cs"/>
          <w:sz w:val="20"/>
          <w:szCs w:val="20"/>
          <w:rtl/>
        </w:rPr>
        <w:t>اخلاق از نظر قرآن</w:t>
      </w:r>
      <w:r w:rsidRPr="006E28E9">
        <w:rPr>
          <w:rStyle w:val="FootnoteReference"/>
          <w:rFonts w:hint="cs"/>
          <w:vertAlign w:val="baseline"/>
          <w:rtl/>
        </w:rPr>
        <w:t xml:space="preserve">» [أي: الأخلاق في القرآن] (طهران، شركت سهامى طبع كتاب، 1344 </w:t>
      </w:r>
      <w:r w:rsidRPr="006E28E9">
        <w:rPr>
          <w:rStyle w:val="FootnoteReference"/>
          <w:rFonts w:hint="cs"/>
          <w:vertAlign w:val="baseline"/>
          <w:rtl/>
          <w:lang w:bidi="ar-SY"/>
        </w:rPr>
        <w:t>هـ.ش</w:t>
      </w:r>
      <w:r w:rsidRPr="006E28E9">
        <w:rPr>
          <w:rFonts w:hint="cs"/>
          <w:rtl/>
        </w:rPr>
        <w:t>/ 1965م</w:t>
      </w:r>
      <w:r w:rsidRPr="006E28E9">
        <w:rPr>
          <w:rStyle w:val="FootnoteReference"/>
          <w:rFonts w:hint="cs"/>
          <w:vertAlign w:val="baseline"/>
          <w:rtl/>
        </w:rPr>
        <w:t>).</w:t>
      </w:r>
    </w:p>
  </w:footnote>
  <w:footnote w:id="31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 ص 12.</w:t>
      </w:r>
    </w:p>
  </w:footnote>
  <w:footnote w:id="31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 ص31، وجاء هنالك أن يوسف شُعار كان «نموذجاً آخر للرجال المختارين الذين اصطفاهم الله عز وجل لمحاربة الجهل والخرافات والبدع والأوهام».</w:t>
      </w:r>
    </w:p>
  </w:footnote>
  <w:footnote w:id="31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w:t>
      </w:r>
      <w:r w:rsidRPr="006E28E9">
        <w:rPr>
          <w:rFonts w:hint="cs"/>
          <w:rtl/>
        </w:rPr>
        <w:t>،</w:t>
      </w:r>
      <w:r w:rsidRPr="006E28E9">
        <w:rPr>
          <w:rStyle w:val="FootnoteReference"/>
          <w:rFonts w:hint="cs"/>
          <w:vertAlign w:val="baseline"/>
          <w:rtl/>
        </w:rPr>
        <w:t xml:space="preserve"> ص 26.</w:t>
      </w:r>
    </w:p>
  </w:footnote>
  <w:footnote w:id="31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 xml:space="preserve">...، ص </w:t>
      </w:r>
      <w:r w:rsidRPr="006E28E9">
        <w:rPr>
          <w:rStyle w:val="FootnoteReference"/>
          <w:vertAlign w:val="baseline"/>
          <w:rtl/>
        </w:rPr>
        <w:t xml:space="preserve"> </w:t>
      </w:r>
      <w:r w:rsidRPr="006E28E9">
        <w:rPr>
          <w:rFonts w:hint="cs"/>
          <w:rtl/>
        </w:rPr>
        <w:t>18.</w:t>
      </w:r>
    </w:p>
  </w:footnote>
  <w:footnote w:id="318">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ی</w:t>
      </w:r>
      <w:r w:rsidRPr="008C7124">
        <w:rPr>
          <w:rStyle w:val="Char9"/>
          <w:rFonts w:hint="cs"/>
          <w:sz w:val="20"/>
          <w:szCs w:val="20"/>
          <w:rtl/>
        </w:rPr>
        <w:t>ادنامه استاد حاج م</w:t>
      </w:r>
      <w:r>
        <w:rPr>
          <w:rStyle w:val="Char9"/>
          <w:rFonts w:hint="cs"/>
          <w:sz w:val="20"/>
          <w:szCs w:val="20"/>
          <w:rtl/>
        </w:rPr>
        <w:t>ی</w:t>
      </w:r>
      <w:r w:rsidRPr="008C7124">
        <w:rPr>
          <w:rStyle w:val="Char9"/>
          <w:rFonts w:hint="cs"/>
          <w:sz w:val="20"/>
          <w:szCs w:val="20"/>
          <w:rtl/>
        </w:rPr>
        <w:t xml:space="preserve">رزا </w:t>
      </w:r>
      <w:r>
        <w:rPr>
          <w:rStyle w:val="Char9"/>
          <w:rFonts w:hint="cs"/>
          <w:sz w:val="20"/>
          <w:szCs w:val="20"/>
          <w:rtl/>
        </w:rPr>
        <w:t>ی</w:t>
      </w:r>
      <w:r w:rsidRPr="008C7124">
        <w:rPr>
          <w:rStyle w:val="Char9"/>
          <w:rFonts w:hint="cs"/>
          <w:sz w:val="20"/>
          <w:szCs w:val="20"/>
          <w:rtl/>
        </w:rPr>
        <w:t>وسف شعار،</w:t>
      </w:r>
      <w:r w:rsidRPr="006E28E9">
        <w:rPr>
          <w:rStyle w:val="FootnoteReference"/>
          <w:rFonts w:hint="cs"/>
          <w:vertAlign w:val="baseline"/>
          <w:rtl/>
        </w:rPr>
        <w:t xml:space="preserve"> [رسالة في ذكرى الأستاذ</w:t>
      </w:r>
      <w:r w:rsidRPr="006E28E9">
        <w:rPr>
          <w:rStyle w:val="FootnoteReference"/>
          <w:vertAlign w:val="baseline"/>
          <w:rtl/>
        </w:rPr>
        <w:t xml:space="preserve"> </w:t>
      </w:r>
      <w:r w:rsidRPr="006E28E9">
        <w:rPr>
          <w:rStyle w:val="FootnoteReference"/>
          <w:rFonts w:hint="cs"/>
          <w:vertAlign w:val="baseline"/>
          <w:rtl/>
        </w:rPr>
        <w:t>الحاج الميرزا يوسف شعار]، ص 1 - 4 (باختصار).</w:t>
      </w:r>
    </w:p>
  </w:footnote>
  <w:footnote w:id="31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 xml:space="preserve">...، ص </w:t>
      </w:r>
      <w:r w:rsidRPr="006E28E9">
        <w:rPr>
          <w:rStyle w:val="FootnoteReference"/>
          <w:vertAlign w:val="baseline"/>
          <w:rtl/>
        </w:rPr>
        <w:t xml:space="preserve"> </w:t>
      </w:r>
      <w:r w:rsidRPr="006E28E9">
        <w:rPr>
          <w:rStyle w:val="FootnoteReference"/>
          <w:rFonts w:hint="cs"/>
          <w:vertAlign w:val="baseline"/>
          <w:rtl/>
        </w:rPr>
        <w:t>3.</w:t>
      </w:r>
    </w:p>
  </w:footnote>
  <w:footnote w:id="32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w:t>
      </w:r>
      <w:r w:rsidRPr="006E28E9">
        <w:rPr>
          <w:rFonts w:hint="cs"/>
          <w:rtl/>
        </w:rPr>
        <w:t>ُتِبَ</w:t>
      </w:r>
      <w:r w:rsidRPr="006E28E9">
        <w:rPr>
          <w:rStyle w:val="FootnoteReference"/>
          <w:rFonts w:hint="cs"/>
          <w:vertAlign w:val="baseline"/>
          <w:rtl/>
        </w:rPr>
        <w:t xml:space="preserve"> على غلاف هذا الكتاب أن</w:t>
      </w:r>
      <w:r w:rsidRPr="006E28E9">
        <w:rPr>
          <w:rFonts w:hint="cs"/>
          <w:rtl/>
        </w:rPr>
        <w:t>ه</w:t>
      </w:r>
      <w:r w:rsidRPr="006E28E9">
        <w:rPr>
          <w:rStyle w:val="FootnoteReference"/>
          <w:rFonts w:hint="cs"/>
          <w:vertAlign w:val="baseline"/>
          <w:rtl/>
        </w:rPr>
        <w:t xml:space="preserve"> يتألف من ثلاثة فصول وأنه مستقى </w:t>
      </w:r>
      <w:r w:rsidRPr="006E28E9">
        <w:rPr>
          <w:rFonts w:hint="cs"/>
          <w:rtl/>
        </w:rPr>
        <w:t>م</w:t>
      </w:r>
      <w:r w:rsidRPr="006E28E9">
        <w:rPr>
          <w:rStyle w:val="FootnoteReference"/>
          <w:rFonts w:hint="cs"/>
          <w:vertAlign w:val="baseline"/>
          <w:rtl/>
        </w:rPr>
        <w:t>ن مجالس التفسير التي كان المؤلف يعقدها في تبريز. ووضعت صورة للمؤلف في الصفحة الأولى من الكتاب الذي بلغ عدد صفحاته 380 صفحة.</w:t>
      </w:r>
    </w:p>
  </w:footnote>
  <w:footnote w:id="32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خلاصة عنه في: </w:t>
      </w:r>
      <w:r w:rsidRPr="008C7124">
        <w:rPr>
          <w:rStyle w:val="Char9"/>
          <w:rFonts w:hint="cs"/>
          <w:sz w:val="20"/>
          <w:szCs w:val="20"/>
          <w:rtl/>
        </w:rPr>
        <w:t>زندگىنامه</w:t>
      </w:r>
      <w:r w:rsidRPr="006E28E9">
        <w:rPr>
          <w:rStyle w:val="FootnoteReference"/>
          <w:rFonts w:hint="cs"/>
          <w:vertAlign w:val="baseline"/>
          <w:rtl/>
        </w:rPr>
        <w:t xml:space="preserve">....، ص 22 - 23.   </w:t>
      </w:r>
      <w:r w:rsidRPr="006E28E9">
        <w:rPr>
          <w:rStyle w:val="FootnoteReference"/>
          <w:vertAlign w:val="baseline"/>
          <w:rtl/>
        </w:rPr>
        <w:t xml:space="preserve"> </w:t>
      </w:r>
    </w:p>
  </w:footnote>
  <w:footnote w:id="32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زندگىنامه</w:t>
      </w:r>
      <w:r w:rsidRPr="006E28E9">
        <w:rPr>
          <w:rStyle w:val="FootnoteReference"/>
          <w:rFonts w:hint="cs"/>
          <w:vertAlign w:val="baseline"/>
          <w:rtl/>
        </w:rPr>
        <w:t xml:space="preserve">...، ص </w:t>
      </w:r>
      <w:r w:rsidRPr="006E28E9">
        <w:rPr>
          <w:rStyle w:val="FootnoteReference"/>
          <w:vertAlign w:val="baseline"/>
          <w:rtl/>
        </w:rPr>
        <w:t xml:space="preserve"> </w:t>
      </w:r>
      <w:r w:rsidRPr="006E28E9">
        <w:rPr>
          <w:rStyle w:val="FootnoteReference"/>
          <w:rFonts w:hint="cs"/>
          <w:vertAlign w:val="baseline"/>
          <w:rtl/>
        </w:rPr>
        <w:t>27.</w:t>
      </w:r>
    </w:p>
  </w:footnote>
  <w:footnote w:id="32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محمد حنيف نجاد من أهل تبريز، ولد فيها حوالي سنة 1339م، ودرس الهندسة الزراعية، ومارس نشاطه السياسي المعادي لنظام الشاه ضمن الجبهة الوطنية ونهضة الحرية، وفي عام 1344 هـ.ش/ 1965م أسس برفقة اثنين من زملائه منظمة مجاهدي خلق التي كانت في بدايتها ذات طابع ديني إسلامي ثوري. اعتقله جهاز السافاك سنة 1971م، وأُعْدِمَ سنة 1972م. ومن الجدير بالذكر أن تلك المنظمة حصل فيها، قُبيل اندلاع الثورة في إيران عام 1978، انقلاب فكري تحولت بسببه إلى منظمة ماركسية تتظاهر بالإسلام وتبطن الماركسية أو تفسر الإسلام  تفسيرًا ماديًّا ماركسيًّا وتنتهج العنف والاغتيالات والثورة المسلحة لتحقيق أهدافها! (المُتَرْجِمُ)</w:t>
      </w:r>
    </w:p>
  </w:footnote>
  <w:footnote w:id="32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همگام با آزادى</w:t>
      </w:r>
      <w:r w:rsidRPr="006E28E9">
        <w:rPr>
          <w:rStyle w:val="FootnoteReference"/>
          <w:rFonts w:hint="cs"/>
          <w:vertAlign w:val="baseline"/>
          <w:rtl/>
        </w:rPr>
        <w:t xml:space="preserve"> [مرافقة الحرية]، ج 1، ص 87.</w:t>
      </w:r>
    </w:p>
  </w:footnote>
  <w:footnote w:id="32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نُشِر خبر وفاته بتاريخ 5/7/1384 هـ.ش [يوافق 27/9/2005م] في صحيفة «شرق»</w:t>
      </w:r>
      <w:r w:rsidRPr="006E28E9">
        <w:rPr>
          <w:rFonts w:hint="cs"/>
          <w:rtl/>
        </w:rPr>
        <w:t xml:space="preserve"> </w:t>
      </w:r>
      <w:r w:rsidRPr="006E28E9">
        <w:rPr>
          <w:rFonts w:hint="cs"/>
          <w:rtl/>
        </w:rPr>
        <w:t>[التي تصدر في طهران]</w:t>
      </w:r>
      <w:r w:rsidRPr="006E28E9">
        <w:rPr>
          <w:rStyle w:val="FootnoteReference"/>
          <w:rFonts w:hint="cs"/>
          <w:vertAlign w:val="baseline"/>
          <w:rtl/>
        </w:rPr>
        <w:t>. من بين آيات الله الذين أصدروا بياناً في نعيه والتعزية بوفاته: آية الله المنتظري</w:t>
      </w:r>
      <w:r w:rsidRPr="006E28E9">
        <w:rPr>
          <w:rFonts w:hint="cs"/>
          <w:rtl/>
        </w:rPr>
        <w:t>،</w:t>
      </w:r>
      <w:r w:rsidRPr="006E28E9">
        <w:rPr>
          <w:rStyle w:val="FootnoteReference"/>
          <w:rFonts w:hint="cs"/>
          <w:vertAlign w:val="baseline"/>
          <w:rtl/>
        </w:rPr>
        <w:t xml:space="preserve"> وأشار إليه بِلَقَبِ «آية الله الغروي». كما أصدر السيد محمد خاتمي رئيس جمهورية إيران ال</w:t>
      </w:r>
      <w:r w:rsidRPr="006E28E9">
        <w:rPr>
          <w:rFonts w:hint="cs"/>
          <w:rtl/>
        </w:rPr>
        <w:t>سابق</w:t>
      </w:r>
      <w:r w:rsidRPr="006E28E9">
        <w:rPr>
          <w:rStyle w:val="FootnoteReference"/>
          <w:rFonts w:hint="cs"/>
          <w:vertAlign w:val="baseline"/>
          <w:rtl/>
        </w:rPr>
        <w:t xml:space="preserve"> بيان تعزية بوفاته.</w:t>
      </w:r>
    </w:p>
  </w:footnote>
  <w:footnote w:id="32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حول حياته ومؤلفاته انظروا الترجمة الذاتية التي كتبها عن نفسه في مقدمة كتاب</w:t>
      </w:r>
      <w:r w:rsidRPr="006E28E9">
        <w:rPr>
          <w:rFonts w:hint="cs"/>
          <w:rtl/>
        </w:rPr>
        <w:t>ه</w:t>
      </w:r>
      <w:r w:rsidRPr="006E28E9">
        <w:rPr>
          <w:rStyle w:val="FootnoteReference"/>
          <w:rFonts w:hint="cs"/>
          <w:vertAlign w:val="baseline"/>
          <w:rtl/>
        </w:rPr>
        <w:t xml:space="preserve"> «</w:t>
      </w:r>
      <w:r w:rsidRPr="008C7124">
        <w:rPr>
          <w:rStyle w:val="Char9"/>
          <w:rFonts w:hint="cs"/>
          <w:sz w:val="20"/>
          <w:szCs w:val="20"/>
          <w:rtl/>
        </w:rPr>
        <w:t>مبان</w:t>
      </w:r>
      <w:r>
        <w:rPr>
          <w:rStyle w:val="Char9"/>
          <w:rFonts w:hint="cs"/>
          <w:sz w:val="20"/>
          <w:szCs w:val="20"/>
          <w:rtl/>
        </w:rPr>
        <w:t>ی</w:t>
      </w:r>
      <w:r w:rsidRPr="008C7124">
        <w:rPr>
          <w:rStyle w:val="Char9"/>
          <w:rFonts w:hint="cs"/>
          <w:sz w:val="20"/>
          <w:szCs w:val="20"/>
          <w:rtl/>
        </w:rPr>
        <w:t xml:space="preserve"> حقوق</w:t>
      </w:r>
      <w:r w:rsidRPr="006E28E9">
        <w:rPr>
          <w:rStyle w:val="FootnoteReference"/>
          <w:rFonts w:hint="cs"/>
          <w:vertAlign w:val="baseline"/>
          <w:rtl/>
        </w:rPr>
        <w:t xml:space="preserve">» [أسس ومرتكزات القوانين] (أصفهان، جهاد دانشگاهى، 1373 هـ.ش). ولم يذكر تاريخ ولادته هناك ولكن يمكننا أن نستنتج مما كتبه أن ولادته كانت حوالي سنة 1330 هـ.ق/1291 هـ.ش. بعض مؤلفاته هي: </w:t>
      </w:r>
      <w:r w:rsidRPr="008C7124">
        <w:rPr>
          <w:rStyle w:val="Char9"/>
          <w:rFonts w:hint="cs"/>
          <w:sz w:val="20"/>
          <w:szCs w:val="20"/>
          <w:rtl/>
        </w:rPr>
        <w:t xml:space="preserve">نماز </w:t>
      </w:r>
      <w:r>
        <w:rPr>
          <w:rStyle w:val="Char9"/>
          <w:rFonts w:hint="cs"/>
          <w:sz w:val="20"/>
          <w:szCs w:val="20"/>
          <w:rtl/>
        </w:rPr>
        <w:t>ی</w:t>
      </w:r>
      <w:r w:rsidRPr="008C7124">
        <w:rPr>
          <w:rStyle w:val="Char9"/>
          <w:rFonts w:hint="cs"/>
          <w:sz w:val="20"/>
          <w:szCs w:val="20"/>
          <w:rtl/>
        </w:rPr>
        <w:t>ا س</w:t>
      </w:r>
      <w:r>
        <w:rPr>
          <w:rStyle w:val="Char9"/>
          <w:rFonts w:hint="cs"/>
          <w:sz w:val="20"/>
          <w:szCs w:val="20"/>
          <w:rtl/>
        </w:rPr>
        <w:t>ی</w:t>
      </w:r>
      <w:r w:rsidRPr="008C7124">
        <w:rPr>
          <w:rStyle w:val="Char9"/>
          <w:rFonts w:hint="cs"/>
          <w:sz w:val="20"/>
          <w:szCs w:val="20"/>
          <w:rtl/>
        </w:rPr>
        <w:t xml:space="preserve">ر </w:t>
      </w:r>
      <w:r>
        <w:rPr>
          <w:rStyle w:val="Char9"/>
          <w:rFonts w:hint="cs"/>
          <w:sz w:val="20"/>
          <w:szCs w:val="20"/>
          <w:rtl/>
        </w:rPr>
        <w:t>ک</w:t>
      </w:r>
      <w:r w:rsidRPr="008C7124">
        <w:rPr>
          <w:rStyle w:val="Char9"/>
          <w:rFonts w:hint="cs"/>
          <w:sz w:val="20"/>
          <w:szCs w:val="20"/>
          <w:rtl/>
        </w:rPr>
        <w:t>مالى انسان</w:t>
      </w:r>
      <w:r w:rsidRPr="006E28E9">
        <w:rPr>
          <w:rStyle w:val="FootnoteReference"/>
          <w:rFonts w:hint="cs"/>
          <w:vertAlign w:val="baseline"/>
          <w:rtl/>
        </w:rPr>
        <w:t xml:space="preserve"> [الصلاة أو السير التكاملي للإنسان] (1349 هـ.ش)، </w:t>
      </w:r>
      <w:r w:rsidRPr="008C7124">
        <w:rPr>
          <w:rStyle w:val="Char9"/>
          <w:rFonts w:hint="cs"/>
          <w:sz w:val="20"/>
          <w:szCs w:val="20"/>
          <w:rtl/>
        </w:rPr>
        <w:t>آدم از نظر قرآن</w:t>
      </w:r>
      <w:r w:rsidRPr="006E28E9">
        <w:rPr>
          <w:rStyle w:val="FootnoteReference"/>
          <w:rFonts w:hint="cs"/>
          <w:vertAlign w:val="baseline"/>
          <w:rtl/>
        </w:rPr>
        <w:t xml:space="preserve"> [آدم في </w:t>
      </w:r>
      <w:r w:rsidRPr="006E28E9">
        <w:rPr>
          <w:rFonts w:hint="cs"/>
          <w:rtl/>
        </w:rPr>
        <w:t xml:space="preserve">منظور </w:t>
      </w:r>
      <w:r w:rsidRPr="006E28E9">
        <w:rPr>
          <w:rStyle w:val="FootnoteReference"/>
          <w:rFonts w:hint="cs"/>
          <w:vertAlign w:val="baseline"/>
          <w:rtl/>
        </w:rPr>
        <w:t xml:space="preserve">القرآن]، </w:t>
      </w:r>
      <w:r w:rsidRPr="008C7124">
        <w:rPr>
          <w:rStyle w:val="Char9"/>
          <w:rFonts w:hint="cs"/>
          <w:sz w:val="20"/>
          <w:szCs w:val="20"/>
          <w:rtl/>
        </w:rPr>
        <w:t>فلسفه حج</w:t>
      </w:r>
      <w:r w:rsidRPr="006E28E9">
        <w:rPr>
          <w:rStyle w:val="FootnoteReference"/>
          <w:rFonts w:hint="cs"/>
          <w:vertAlign w:val="baseline"/>
          <w:rtl/>
        </w:rPr>
        <w:t xml:space="preserve"> (طهران، اقبال، چاپ دوم، 1361 هـ.ش)، </w:t>
      </w:r>
      <w:r w:rsidRPr="008C7124">
        <w:rPr>
          <w:rStyle w:val="Char9"/>
          <w:rFonts w:hint="cs"/>
          <w:sz w:val="20"/>
          <w:szCs w:val="20"/>
          <w:rtl/>
        </w:rPr>
        <w:t>اخلاق محمد</w:t>
      </w:r>
      <w:r w:rsidRPr="006E28E9">
        <w:rPr>
          <w:rStyle w:val="FootnoteReference"/>
          <w:rFonts w:hint="cs"/>
          <w:vertAlign w:val="baseline"/>
          <w:rtl/>
        </w:rPr>
        <w:t xml:space="preserve"> </w:t>
      </w:r>
      <w:r w:rsidRPr="00924380">
        <w:rPr>
          <w:rStyle w:val="FootnoteReference"/>
          <w:rFonts w:cs="CTraditional Arabic" w:hint="cs"/>
          <w:vertAlign w:val="baseline"/>
          <w:rtl/>
        </w:rPr>
        <w:t>ص</w:t>
      </w:r>
      <w:r w:rsidRPr="006E28E9">
        <w:rPr>
          <w:rStyle w:val="FootnoteReference"/>
          <w:rFonts w:hint="cs"/>
          <w:vertAlign w:val="baseline"/>
          <w:rtl/>
        </w:rPr>
        <w:t xml:space="preserve">، </w:t>
      </w:r>
      <w:r w:rsidRPr="008C7124">
        <w:rPr>
          <w:rStyle w:val="Char9"/>
          <w:rFonts w:hint="cs"/>
          <w:sz w:val="20"/>
          <w:szCs w:val="20"/>
          <w:rtl/>
        </w:rPr>
        <w:t>خورش</w:t>
      </w:r>
      <w:r>
        <w:rPr>
          <w:rStyle w:val="Char9"/>
          <w:rFonts w:hint="cs"/>
          <w:sz w:val="20"/>
          <w:szCs w:val="20"/>
          <w:rtl/>
        </w:rPr>
        <w:t>ی</w:t>
      </w:r>
      <w:r w:rsidRPr="008C7124">
        <w:rPr>
          <w:rStyle w:val="Char9"/>
          <w:rFonts w:hint="cs"/>
          <w:sz w:val="20"/>
          <w:szCs w:val="20"/>
          <w:rtl/>
        </w:rPr>
        <w:t>د معرفت</w:t>
      </w:r>
      <w:r w:rsidRPr="006E28E9">
        <w:rPr>
          <w:rStyle w:val="FootnoteReference"/>
          <w:rFonts w:hint="cs"/>
          <w:vertAlign w:val="baseline"/>
          <w:rtl/>
        </w:rPr>
        <w:t xml:space="preserve"> [شمس المعرفة] في ثلاثة مجلدات (1338 - 1343 هـ.ش)، </w:t>
      </w:r>
      <w:r w:rsidRPr="008C7124">
        <w:rPr>
          <w:rStyle w:val="Char9"/>
          <w:rFonts w:hint="cs"/>
          <w:sz w:val="20"/>
          <w:szCs w:val="20"/>
          <w:rtl/>
        </w:rPr>
        <w:t>قربانى در منى</w:t>
      </w:r>
      <w:r w:rsidRPr="006E28E9">
        <w:rPr>
          <w:rStyle w:val="FootnoteReference"/>
          <w:rFonts w:hint="cs"/>
          <w:vertAlign w:val="baseline"/>
          <w:rtl/>
        </w:rPr>
        <w:t xml:space="preserve"> [ذ</w:t>
      </w:r>
      <w:r w:rsidRPr="006E28E9">
        <w:rPr>
          <w:rFonts w:hint="cs"/>
          <w:rtl/>
        </w:rPr>
        <w:t>بح</w:t>
      </w:r>
      <w:r w:rsidRPr="006E28E9">
        <w:rPr>
          <w:rStyle w:val="FootnoteReference"/>
          <w:rFonts w:hint="cs"/>
          <w:vertAlign w:val="baseline"/>
          <w:rtl/>
        </w:rPr>
        <w:t xml:space="preserve"> الأضاحي في منى] (مهر 1362 هـ.ش)، نماز جمعه يا قي</w:t>
      </w:r>
      <w:r w:rsidRPr="006E28E9">
        <w:rPr>
          <w:rFonts w:hint="cs"/>
          <w:rtl/>
        </w:rPr>
        <w:t>ا</w:t>
      </w:r>
      <w:r w:rsidRPr="006E28E9">
        <w:rPr>
          <w:rStyle w:val="FootnoteReference"/>
          <w:rFonts w:hint="cs"/>
          <w:vertAlign w:val="baseline"/>
          <w:rtl/>
        </w:rPr>
        <w:t xml:space="preserve">م توحيدى هفته [صلاة الجمعة أو نهضة الأسبوع التوحيدية] (أُلِّف في شهر آذر من سنة 1358 هـ.ش وطُبِعَ استناداً إلى مخطوطة كتبها المؤلف بيده)، </w:t>
      </w:r>
      <w:r w:rsidRPr="008C7124">
        <w:rPr>
          <w:rStyle w:val="Char9"/>
          <w:rFonts w:hint="cs"/>
          <w:sz w:val="20"/>
          <w:szCs w:val="20"/>
          <w:rtl/>
        </w:rPr>
        <w:t>رسال</w:t>
      </w:r>
      <w:r>
        <w:rPr>
          <w:rStyle w:val="Char9"/>
          <w:rFonts w:hint="cs"/>
          <w:sz w:val="20"/>
          <w:szCs w:val="20"/>
          <w:rtl/>
        </w:rPr>
        <w:t>ۀ</w:t>
      </w:r>
      <w:r w:rsidRPr="008C7124">
        <w:rPr>
          <w:rStyle w:val="Char9"/>
          <w:rFonts w:hint="cs"/>
          <w:sz w:val="20"/>
          <w:szCs w:val="20"/>
          <w:rtl/>
        </w:rPr>
        <w:t xml:space="preserve"> در بلوغ</w:t>
      </w:r>
      <w:r w:rsidRPr="006E28E9">
        <w:rPr>
          <w:rStyle w:val="FootnoteReference"/>
          <w:rFonts w:hint="cs"/>
          <w:vertAlign w:val="baseline"/>
          <w:rtl/>
        </w:rPr>
        <w:t xml:space="preserve"> [رسالة في سن البلوغ] (أُلْحِقَت بكتاب مباني حقوق در اسلام [أي: </w:t>
      </w:r>
      <w:r w:rsidRPr="006E28E9">
        <w:rPr>
          <w:rStyle w:val="FootnoteReference"/>
          <w:rFonts w:hint="cs"/>
          <w:b/>
          <w:bCs/>
          <w:vertAlign w:val="baseline"/>
          <w:rtl/>
        </w:rPr>
        <w:t>أسس ومرتكزات القوانين في الإسلام</w:t>
      </w:r>
      <w:r w:rsidRPr="006E28E9">
        <w:rPr>
          <w:rStyle w:val="FootnoteReference"/>
          <w:rFonts w:hint="cs"/>
          <w:vertAlign w:val="baseline"/>
          <w:rtl/>
        </w:rPr>
        <w:t xml:space="preserve">]، ربيع عام 1373 هـ.ش)، </w:t>
      </w:r>
      <w:r w:rsidRPr="008C7124">
        <w:rPr>
          <w:rStyle w:val="Char9"/>
          <w:rFonts w:hint="cs"/>
          <w:sz w:val="20"/>
          <w:szCs w:val="20"/>
          <w:rtl/>
        </w:rPr>
        <w:t>مغرب وهلال</w:t>
      </w:r>
      <w:r w:rsidRPr="006E28E9">
        <w:rPr>
          <w:rStyle w:val="FootnoteReference"/>
          <w:rFonts w:hint="cs"/>
          <w:vertAlign w:val="baseline"/>
          <w:rtl/>
        </w:rPr>
        <w:t xml:space="preserve"> [وقت الغروب وموضوع ثبوت الهلال] (أصفهان، ؟ ، 1370 هـ.ش). كما نُشِرَ له كُتَيِّبٌ بعنوان «</w:t>
      </w:r>
      <w:r w:rsidRPr="006E28E9">
        <w:rPr>
          <w:rStyle w:val="FootnoteReference"/>
          <w:rFonts w:hint="cs"/>
          <w:b/>
          <w:bCs/>
          <w:vertAlign w:val="baseline"/>
          <w:rtl/>
        </w:rPr>
        <w:t xml:space="preserve">خُلُق النبي </w:t>
      </w:r>
      <w:r w:rsidRPr="00924380">
        <w:rPr>
          <w:rStyle w:val="FootnoteReference"/>
          <w:rFonts w:cs="CTraditional Arabic" w:hint="cs"/>
          <w:vertAlign w:val="baseline"/>
          <w:rtl/>
        </w:rPr>
        <w:t>ص</w:t>
      </w:r>
      <w:r w:rsidRPr="006E28E9">
        <w:rPr>
          <w:rStyle w:val="FootnoteReference"/>
          <w:rFonts w:hint="cs"/>
          <w:vertAlign w:val="baseline"/>
          <w:rtl/>
        </w:rPr>
        <w:t>»، سنة 1335 هـ.ش تحت عنوان المجلد الأول</w:t>
      </w:r>
      <w:r w:rsidRPr="006E28E9">
        <w:rPr>
          <w:rFonts w:hint="cs"/>
          <w:rtl/>
        </w:rPr>
        <w:t>،</w:t>
      </w:r>
      <w:r w:rsidRPr="006E28E9">
        <w:rPr>
          <w:rStyle w:val="FootnoteReference"/>
          <w:rFonts w:hint="cs"/>
          <w:vertAlign w:val="baseline"/>
          <w:rtl/>
        </w:rPr>
        <w:t xml:space="preserve"> وذلك في 96 صفحة.</w:t>
      </w:r>
    </w:p>
  </w:footnote>
  <w:footnote w:id="32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اصفهان در انقلاب</w:t>
      </w:r>
      <w:r w:rsidRPr="006E28E9">
        <w:rPr>
          <w:rStyle w:val="FootnoteReference"/>
          <w:rFonts w:hint="cs"/>
          <w:vertAlign w:val="baseline"/>
          <w:rtl/>
        </w:rPr>
        <w:t xml:space="preserve"> [أصفهان في الثورة]، ج 1، ص 364.</w:t>
      </w:r>
    </w:p>
  </w:footnote>
  <w:footnote w:id="32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يشير الأستاذ مطهري في كتابه «</w:t>
      </w:r>
      <w:r w:rsidRPr="008C7124">
        <w:rPr>
          <w:rStyle w:val="Char9"/>
          <w:rFonts w:hint="cs"/>
          <w:sz w:val="20"/>
          <w:szCs w:val="20"/>
          <w:rtl/>
        </w:rPr>
        <w:t>امامت و رهبرى</w:t>
      </w:r>
      <w:r w:rsidRPr="006E28E9">
        <w:rPr>
          <w:rStyle w:val="FootnoteReference"/>
          <w:rFonts w:hint="cs"/>
          <w:vertAlign w:val="baseline"/>
          <w:rtl/>
        </w:rPr>
        <w:t>» [الإمامة والزعامة]، ص 35 (نشر صدرا، الطبعة السابعة والعشرون) إلى أن المرحوم دَرْجِئي لم يكن يؤمن بالولاية التكوينية.</w:t>
      </w:r>
    </w:p>
  </w:footnote>
  <w:footnote w:id="32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ستاره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اى از  شرق</w:t>
      </w:r>
      <w:r w:rsidRPr="006E28E9">
        <w:rPr>
          <w:rStyle w:val="FootnoteReference"/>
          <w:rFonts w:hint="cs"/>
          <w:vertAlign w:val="baseline"/>
          <w:rtl/>
        </w:rPr>
        <w:t xml:space="preserve"> [نجمة من الشرق]، ص 345.</w:t>
      </w:r>
    </w:p>
  </w:footnote>
  <w:footnote w:id="33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346.</w:t>
      </w:r>
    </w:p>
  </w:footnote>
  <w:footnote w:id="33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طُبِع الكتاب الأخير (سنة 1382 هـ.ش) تحت عنوان «</w:t>
      </w:r>
      <w:r w:rsidRPr="008C7124">
        <w:rPr>
          <w:rStyle w:val="Char9"/>
          <w:rFonts w:hint="cs"/>
          <w:sz w:val="20"/>
          <w:szCs w:val="20"/>
          <w:rtl/>
        </w:rPr>
        <w:t>تخت فولاد</w:t>
      </w:r>
      <w:r w:rsidRPr="006E28E9">
        <w:rPr>
          <w:rStyle w:val="FootnoteReference"/>
          <w:rFonts w:hint="cs"/>
          <w:vertAlign w:val="baseline"/>
          <w:rtl/>
        </w:rPr>
        <w:t>» بهمة داوود علي بابائي (دون الاهتمام بهوية كاتبه) مِنْ قِبَلِ دار نشر اميد فردا (وهي دار نشر تقوم بنشر المؤلفات والأفكار الوطنية - الدينية).</w:t>
      </w:r>
    </w:p>
  </w:footnote>
  <w:footnote w:id="33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في العدد الأول من سلسلة «</w:t>
      </w:r>
      <w:r w:rsidRPr="008C7124">
        <w:rPr>
          <w:rStyle w:val="Char9"/>
          <w:rFonts w:hint="cs"/>
          <w:sz w:val="20"/>
          <w:szCs w:val="20"/>
          <w:rtl/>
        </w:rPr>
        <w:t>خطبه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 و جمعه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w:t>
      </w:r>
      <w:r w:rsidRPr="006E28E9">
        <w:rPr>
          <w:rStyle w:val="FootnoteReference"/>
          <w:rFonts w:hint="cs"/>
          <w:vertAlign w:val="baseline"/>
          <w:rtl/>
        </w:rPr>
        <w:t>» [خطب وجمع]، ص 17، قال</w:t>
      </w:r>
      <w:r w:rsidRPr="006E28E9">
        <w:rPr>
          <w:rFonts w:hint="cs"/>
          <w:rtl/>
        </w:rPr>
        <w:t xml:space="preserve"> الغروي</w:t>
      </w:r>
      <w:r w:rsidRPr="006E28E9">
        <w:rPr>
          <w:rStyle w:val="FootnoteReference"/>
          <w:rFonts w:hint="cs"/>
          <w:vertAlign w:val="baseline"/>
          <w:rtl/>
        </w:rPr>
        <w:t xml:space="preserve"> مشيراً إلى هذا الوضع في أصفهان: اليوم هناك آلاف في هذه المدينة لا يجيبون على سلامي عندما ألقي عليهم التحية! وانظروا أيضًا «</w:t>
      </w:r>
      <w:r w:rsidRPr="008C7124">
        <w:rPr>
          <w:rStyle w:val="Char9"/>
          <w:rFonts w:hint="cs"/>
          <w:sz w:val="20"/>
          <w:szCs w:val="20"/>
          <w:rtl/>
        </w:rPr>
        <w:t>بن</w:t>
      </w:r>
      <w:r>
        <w:rPr>
          <w:rStyle w:val="Char9"/>
          <w:rFonts w:hint="cs"/>
          <w:sz w:val="20"/>
          <w:szCs w:val="20"/>
          <w:rtl/>
        </w:rPr>
        <w:t>ی</w:t>
      </w:r>
      <w:r w:rsidRPr="008C7124">
        <w:rPr>
          <w:rStyle w:val="Char9"/>
          <w:rFonts w:hint="cs"/>
          <w:sz w:val="20"/>
          <w:szCs w:val="20"/>
          <w:rtl/>
        </w:rPr>
        <w:t>ان وحدت از د</w:t>
      </w:r>
      <w:r>
        <w:rPr>
          <w:rStyle w:val="Char9"/>
          <w:rFonts w:hint="cs"/>
          <w:sz w:val="20"/>
          <w:szCs w:val="20"/>
          <w:rtl/>
        </w:rPr>
        <w:t>ی</w:t>
      </w:r>
      <w:r w:rsidRPr="008C7124">
        <w:rPr>
          <w:rStyle w:val="Char9"/>
          <w:rFonts w:hint="cs"/>
          <w:sz w:val="20"/>
          <w:szCs w:val="20"/>
          <w:rtl/>
        </w:rPr>
        <w:t>دگاه قرآن</w:t>
      </w:r>
      <w:r w:rsidRPr="006E28E9">
        <w:rPr>
          <w:rStyle w:val="FootnoteReference"/>
          <w:rFonts w:hint="cs"/>
          <w:vertAlign w:val="baseline"/>
          <w:rtl/>
        </w:rPr>
        <w:t>» [أساس الوحدة من منظور القرآن]، (الدفتر الحادي عشر للخطب)، ص 45 - 46.</w:t>
      </w:r>
    </w:p>
  </w:footnote>
  <w:footnote w:id="33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أي خمسينيات القرن 14 الهجري الشمسي حسب التقويم الإيراني، ويوافق سبعينيات القرن العشرين الميلادي (المُتَرْجِمُ). </w:t>
      </w:r>
    </w:p>
  </w:footnote>
  <w:footnote w:id="33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كتاب </w:t>
      </w:r>
      <w:r w:rsidRPr="008C7124">
        <w:rPr>
          <w:rStyle w:val="Char9"/>
          <w:rFonts w:hint="cs"/>
          <w:sz w:val="20"/>
          <w:szCs w:val="20"/>
          <w:rtl/>
        </w:rPr>
        <w:t>شه</w:t>
      </w:r>
      <w:r>
        <w:rPr>
          <w:rStyle w:val="Char9"/>
          <w:rFonts w:hint="cs"/>
          <w:sz w:val="20"/>
          <w:szCs w:val="20"/>
          <w:rtl/>
        </w:rPr>
        <w:t>ی</w:t>
      </w:r>
      <w:r w:rsidRPr="008C7124">
        <w:rPr>
          <w:rStyle w:val="Char9"/>
          <w:rFonts w:hint="cs"/>
          <w:sz w:val="20"/>
          <w:szCs w:val="20"/>
          <w:rtl/>
        </w:rPr>
        <w:t>د جاو</w:t>
      </w:r>
      <w:r>
        <w:rPr>
          <w:rStyle w:val="Char9"/>
          <w:rFonts w:hint="cs"/>
          <w:sz w:val="20"/>
          <w:szCs w:val="20"/>
          <w:rtl/>
        </w:rPr>
        <w:t>ی</w:t>
      </w:r>
      <w:r w:rsidRPr="008C7124">
        <w:rPr>
          <w:rStyle w:val="Char9"/>
          <w:rFonts w:hint="cs"/>
          <w:sz w:val="20"/>
          <w:szCs w:val="20"/>
          <w:rtl/>
        </w:rPr>
        <w:t>د</w:t>
      </w:r>
      <w:r w:rsidRPr="006E28E9">
        <w:rPr>
          <w:rStyle w:val="FootnoteReference"/>
          <w:rFonts w:hint="cs"/>
          <w:vertAlign w:val="baseline"/>
          <w:rtl/>
        </w:rPr>
        <w:t xml:space="preserve"> [الشهيد الخالد</w:t>
      </w:r>
      <w:r w:rsidRPr="006E28E9">
        <w:rPr>
          <w:rFonts w:hint="cs"/>
          <w:rtl/>
        </w:rPr>
        <w:t xml:space="preserve"> الحسين بن علي </w:t>
      </w:r>
      <w:r w:rsidRPr="00924380">
        <w:rPr>
          <w:rFonts w:cs="CTraditional Arabic" w:hint="cs"/>
          <w:rtl/>
        </w:rPr>
        <w:t>÷</w:t>
      </w:r>
      <w:r w:rsidRPr="006E28E9">
        <w:rPr>
          <w:rStyle w:val="FootnoteReference"/>
          <w:rFonts w:hint="cs"/>
          <w:vertAlign w:val="baseline"/>
          <w:rtl/>
        </w:rPr>
        <w:t>] م</w:t>
      </w:r>
      <w:r w:rsidRPr="006E28E9">
        <w:rPr>
          <w:rFonts w:hint="cs"/>
          <w:rtl/>
        </w:rPr>
        <w:t>ن تأليف</w:t>
      </w:r>
      <w:r w:rsidRPr="006E28E9">
        <w:rPr>
          <w:rStyle w:val="FootnoteReference"/>
          <w:rFonts w:hint="cs"/>
          <w:vertAlign w:val="baseline"/>
          <w:rtl/>
        </w:rPr>
        <w:t xml:space="preserve"> آية الله الشيخ نعمت الله صالحي نجف آبادي الذي كان أيضًا من دعاة الإصلاح والتصحيح ومحاربة الغلو وتنقيح التراث الشيعي، رغم أ</w:t>
      </w:r>
      <w:r w:rsidRPr="006E28E9">
        <w:rPr>
          <w:rFonts w:hint="cs"/>
          <w:rtl/>
        </w:rPr>
        <w:t>نه بقي</w:t>
      </w:r>
      <w:r w:rsidRPr="006E28E9">
        <w:rPr>
          <w:rStyle w:val="FootnoteReference"/>
          <w:rFonts w:hint="cs"/>
          <w:vertAlign w:val="baseline"/>
          <w:rtl/>
        </w:rPr>
        <w:t xml:space="preserve"> ضمن إطار المذهب الشيعي الإمامي. وقد نحى صالحي نجف آبادي في كتابه هذا منحى مخالفاً للعقيدة الرائجة لدى عامة الشيعة الإمامية تجاه ثورة الإمام الحسين </w:t>
      </w:r>
      <w:r w:rsidRPr="00924380">
        <w:rPr>
          <w:rStyle w:val="FootnoteReference"/>
          <w:rFonts w:cs="CTraditional Arabic" w:hint="cs"/>
          <w:vertAlign w:val="baseline"/>
          <w:rtl/>
        </w:rPr>
        <w:t>÷</w:t>
      </w:r>
      <w:r w:rsidRPr="006E28E9">
        <w:rPr>
          <w:rStyle w:val="FootnoteReference"/>
          <w:rFonts w:hint="cs"/>
          <w:vertAlign w:val="baseline"/>
          <w:rtl/>
        </w:rPr>
        <w:t>، مما أثار معركةً من الآراء بين موافق للكتاب ومخالف له، حيث وافقه أغلب علماء الدين الحركيين الثوريين، وعارضه التقليديون القاعدون. وقد طبع الكتاب 18 مرَّة في إيران. (المُتَرْجِمُ)</w:t>
      </w:r>
    </w:p>
  </w:footnote>
  <w:footnote w:id="33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اسلام م</w:t>
      </w:r>
      <w:r>
        <w:rPr>
          <w:rStyle w:val="Char9"/>
          <w:rFonts w:hint="cs"/>
          <w:sz w:val="20"/>
          <w:szCs w:val="20"/>
          <w:rtl/>
        </w:rPr>
        <w:t>ک</w:t>
      </w:r>
      <w:r w:rsidRPr="008C7124">
        <w:rPr>
          <w:rStyle w:val="Char9"/>
          <w:rFonts w:hint="cs"/>
          <w:sz w:val="20"/>
          <w:szCs w:val="20"/>
          <w:rtl/>
        </w:rPr>
        <w:t>تب مبارز</w:t>
      </w:r>
      <w:r w:rsidRPr="006E28E9">
        <w:rPr>
          <w:rStyle w:val="FootnoteReference"/>
          <w:rFonts w:hint="cs"/>
          <w:vertAlign w:val="baseline"/>
          <w:rtl/>
        </w:rPr>
        <w:t>، العدد 21، ص 115.</w:t>
      </w:r>
    </w:p>
  </w:footnote>
  <w:footnote w:id="33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هفت هزار روز تار</w:t>
      </w:r>
      <w:r>
        <w:rPr>
          <w:rStyle w:val="Char9"/>
          <w:rFonts w:hint="cs"/>
          <w:sz w:val="20"/>
          <w:szCs w:val="20"/>
          <w:rtl/>
        </w:rPr>
        <w:t>ی</w:t>
      </w:r>
      <w:r w:rsidRPr="008C7124">
        <w:rPr>
          <w:rStyle w:val="Char9"/>
          <w:rFonts w:hint="cs"/>
          <w:sz w:val="20"/>
          <w:szCs w:val="20"/>
          <w:rtl/>
        </w:rPr>
        <w:t>خ ا</w:t>
      </w:r>
      <w:r>
        <w:rPr>
          <w:rStyle w:val="Char9"/>
          <w:rFonts w:hint="cs"/>
          <w:sz w:val="20"/>
          <w:szCs w:val="20"/>
          <w:rtl/>
        </w:rPr>
        <w:t>ی</w:t>
      </w:r>
      <w:r w:rsidRPr="008C7124">
        <w:rPr>
          <w:rStyle w:val="Char9"/>
          <w:rFonts w:hint="cs"/>
          <w:sz w:val="20"/>
          <w:szCs w:val="20"/>
          <w:rtl/>
        </w:rPr>
        <w:t>ران</w:t>
      </w:r>
      <w:r w:rsidRPr="006E28E9">
        <w:rPr>
          <w:rStyle w:val="FootnoteReference"/>
          <w:rFonts w:hint="cs"/>
          <w:vertAlign w:val="baseline"/>
          <w:rtl/>
        </w:rPr>
        <w:t xml:space="preserve"> [سبعة آلاف يوم من تاريخ إيران]، ج 2 ، ص735 و 738.</w:t>
      </w:r>
      <w:r w:rsidRPr="006E28E9">
        <w:rPr>
          <w:rStyle w:val="FootnoteReference"/>
          <w:vertAlign w:val="baseline"/>
          <w:rtl/>
        </w:rPr>
        <w:t xml:space="preserve"> </w:t>
      </w:r>
    </w:p>
  </w:footnote>
  <w:footnote w:id="33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ال</w:t>
      </w:r>
      <w:r w:rsidRPr="006E28E9">
        <w:rPr>
          <w:rFonts w:hint="cs"/>
          <w:rtl/>
        </w:rPr>
        <w:t>شيخ محمد منتظري</w:t>
      </w:r>
      <w:r w:rsidRPr="006E28E9">
        <w:rPr>
          <w:rStyle w:val="FootnoteReference"/>
          <w:rFonts w:hint="cs"/>
          <w:vertAlign w:val="baseline"/>
          <w:rtl/>
        </w:rPr>
        <w:t xml:space="preserve"> </w:t>
      </w:r>
      <w:r w:rsidRPr="006E28E9">
        <w:rPr>
          <w:rFonts w:hint="cs"/>
          <w:rtl/>
        </w:rPr>
        <w:t>(1944-1981م) هو ا</w:t>
      </w:r>
      <w:r w:rsidRPr="006E28E9">
        <w:rPr>
          <w:rStyle w:val="FootnoteReference"/>
          <w:rFonts w:hint="cs"/>
          <w:vertAlign w:val="baseline"/>
          <w:rtl/>
        </w:rPr>
        <w:t>بن آية الله حسين علي منتظري</w:t>
      </w:r>
      <w:r w:rsidRPr="006E28E9">
        <w:rPr>
          <w:rFonts w:hint="cs"/>
          <w:rtl/>
        </w:rPr>
        <w:t xml:space="preserve">. </w:t>
      </w:r>
      <w:r w:rsidRPr="006E28E9">
        <w:rPr>
          <w:rStyle w:val="FootnoteReference"/>
          <w:rFonts w:hint="cs"/>
          <w:vertAlign w:val="baseline"/>
          <w:rtl/>
        </w:rPr>
        <w:t xml:space="preserve"> </w:t>
      </w:r>
      <w:r w:rsidRPr="006E28E9">
        <w:rPr>
          <w:rFonts w:hint="cs"/>
          <w:rtl/>
        </w:rPr>
        <w:t>كان عالم دين وناشطًا سياسيًّا ضد نظام الشاه، قُبض عليه عام 1965م وسجن 7 أشهر ثم أطلق سراحه، فغادر إيران وبقي خارجها 10 سنوات، وعاد قبل اندلاع الثورة وشارك فيها وفي تأسيس بعض تنظيماتها بعد الانتصار، إلى أن قُتِل</w:t>
      </w:r>
      <w:r w:rsidRPr="006E28E9">
        <w:rPr>
          <w:rStyle w:val="FootnoteReference"/>
          <w:rFonts w:hint="cs"/>
          <w:vertAlign w:val="baseline"/>
          <w:rtl/>
        </w:rPr>
        <w:t xml:space="preserve"> خلال تفجير مقر الحزب الجمهوري الإسلامي</w:t>
      </w:r>
      <w:r w:rsidRPr="006E28E9">
        <w:rPr>
          <w:rFonts w:hint="cs"/>
          <w:rtl/>
        </w:rPr>
        <w:t xml:space="preserve"> في طهران عام 1981.</w:t>
      </w:r>
      <w:r w:rsidRPr="006E28E9">
        <w:rPr>
          <w:rStyle w:val="FootnoteReference"/>
          <w:vertAlign w:val="baseline"/>
          <w:rtl/>
        </w:rPr>
        <w:t xml:space="preserve"> </w:t>
      </w:r>
      <w:r w:rsidRPr="006E28E9">
        <w:rPr>
          <w:rFonts w:hint="cs"/>
          <w:rtl/>
        </w:rPr>
        <w:t>(المُتَرْجِمُ)</w:t>
      </w:r>
    </w:p>
  </w:footnote>
  <w:footnote w:id="33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Fonts w:hint="cs"/>
          <w:rtl/>
        </w:rPr>
        <w:t xml:space="preserve"> </w:t>
      </w:r>
      <w:r w:rsidRPr="006E28E9">
        <w:rPr>
          <w:rFonts w:hint="cs"/>
          <w:rtl/>
        </w:rPr>
        <w:t xml:space="preserve">انظروا لشرح وبيان هذه النشاطات: </w:t>
      </w:r>
      <w:r w:rsidRPr="008C7124">
        <w:rPr>
          <w:rStyle w:val="Char9"/>
          <w:rFonts w:hint="cs"/>
          <w:sz w:val="20"/>
          <w:szCs w:val="20"/>
          <w:rtl/>
        </w:rPr>
        <w:t>خاطرات عل</w:t>
      </w:r>
      <w:r>
        <w:rPr>
          <w:rStyle w:val="Char9"/>
          <w:rFonts w:hint="cs"/>
          <w:sz w:val="20"/>
          <w:szCs w:val="20"/>
          <w:rtl/>
        </w:rPr>
        <w:t>ی</w:t>
      </w:r>
      <w:r w:rsidRPr="008C7124">
        <w:rPr>
          <w:rStyle w:val="Char9"/>
          <w:rFonts w:hint="cs"/>
          <w:sz w:val="20"/>
          <w:szCs w:val="20"/>
          <w:rtl/>
        </w:rPr>
        <w:t xml:space="preserve"> جنت</w:t>
      </w:r>
      <w:r>
        <w:rPr>
          <w:rStyle w:val="Char9"/>
          <w:rFonts w:hint="cs"/>
          <w:sz w:val="20"/>
          <w:szCs w:val="20"/>
          <w:rtl/>
        </w:rPr>
        <w:t>ی</w:t>
      </w:r>
      <w:r w:rsidRPr="006E28E9">
        <w:rPr>
          <w:rFonts w:hint="cs"/>
          <w:rtl/>
        </w:rPr>
        <w:t xml:space="preserve"> [مذكرات علي جنتي]، ص 148- 150</w:t>
      </w:r>
      <w:r w:rsidRPr="006E28E9">
        <w:rPr>
          <w:rStyle w:val="FootnoteReference"/>
          <w:rFonts w:hint="cs"/>
          <w:vertAlign w:val="baseline"/>
          <w:rtl/>
        </w:rPr>
        <w:t>.</w:t>
      </w:r>
      <w:r w:rsidRPr="006E28E9">
        <w:rPr>
          <w:rStyle w:val="FootnoteReference"/>
          <w:vertAlign w:val="baseline"/>
          <w:rtl/>
        </w:rPr>
        <w:t xml:space="preserve"> </w:t>
      </w:r>
    </w:p>
  </w:footnote>
  <w:footnote w:id="33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w:t>
      </w:r>
      <w:r w:rsidRPr="008C7124">
        <w:rPr>
          <w:rStyle w:val="Char9"/>
          <w:rFonts w:hint="cs"/>
          <w:sz w:val="20"/>
          <w:szCs w:val="20"/>
          <w:rtl/>
        </w:rPr>
        <w:t>خطبه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 و جمعه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w:t>
      </w:r>
      <w:r w:rsidRPr="006E28E9">
        <w:rPr>
          <w:rStyle w:val="FootnoteReference"/>
          <w:rFonts w:hint="cs"/>
          <w:vertAlign w:val="baseline"/>
          <w:rtl/>
        </w:rPr>
        <w:t>» [خطب وجمع]، الدفتر ا</w:t>
      </w:r>
      <w:r w:rsidRPr="006E28E9">
        <w:rPr>
          <w:rFonts w:hint="cs"/>
          <w:rtl/>
        </w:rPr>
        <w:t>لأول</w:t>
      </w:r>
      <w:r w:rsidRPr="006E28E9">
        <w:rPr>
          <w:rStyle w:val="FootnoteReference"/>
          <w:rFonts w:hint="cs"/>
          <w:vertAlign w:val="baseline"/>
          <w:rtl/>
        </w:rPr>
        <w:t xml:space="preserve">، ص </w:t>
      </w:r>
      <w:r w:rsidRPr="006E28E9">
        <w:rPr>
          <w:rFonts w:hint="cs"/>
          <w:rtl/>
        </w:rPr>
        <w:t>21.</w:t>
      </w:r>
    </w:p>
  </w:footnote>
  <w:footnote w:id="34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rFonts w:hint="cs"/>
          <w:vertAlign w:val="baseline"/>
          <w:rtl/>
        </w:rPr>
        <w:t>«</w:t>
      </w:r>
      <w:r w:rsidRPr="008C7124">
        <w:rPr>
          <w:rStyle w:val="Char9"/>
          <w:rFonts w:hint="cs"/>
          <w:sz w:val="20"/>
          <w:szCs w:val="20"/>
          <w:rtl/>
        </w:rPr>
        <w:t>خطبه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 و جمعه</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ها</w:t>
      </w:r>
      <w:r w:rsidRPr="006E28E9">
        <w:rPr>
          <w:rStyle w:val="FootnoteReference"/>
          <w:rFonts w:hint="cs"/>
          <w:vertAlign w:val="baseline"/>
          <w:rtl/>
        </w:rPr>
        <w:t xml:space="preserve">» [خطب وجمع]، الدفتر السادس، صص 6 - 8، 13 - 14. </w:t>
      </w:r>
    </w:p>
  </w:footnote>
  <w:footnote w:id="34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 xml:space="preserve">چند گفتار </w:t>
      </w:r>
      <w:r w:rsidRPr="006E28E9">
        <w:rPr>
          <w:rStyle w:val="FootnoteReference"/>
          <w:rFonts w:hint="cs"/>
          <w:vertAlign w:val="baseline"/>
          <w:rtl/>
        </w:rPr>
        <w:t xml:space="preserve">[بضع مقالات]، ترجمة الدكتور السيد على أصغر الغروي، طهران، نشر نگارش، 1379 هـ.ش. </w:t>
      </w:r>
      <w:r w:rsidRPr="006E28E9">
        <w:rPr>
          <w:rStyle w:val="FootnoteReference"/>
          <w:vertAlign w:val="baseline"/>
          <w:rtl/>
        </w:rPr>
        <w:t xml:space="preserve"> </w:t>
      </w:r>
    </w:p>
  </w:footnote>
  <w:footnote w:id="34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vertAlign w:val="baseline"/>
          <w:rtl/>
        </w:rPr>
        <w:t xml:space="preserve"> </w:t>
      </w:r>
      <w:r w:rsidRPr="006E28E9">
        <w:rPr>
          <w:rStyle w:val="FootnoteReference"/>
          <w:rFonts w:hint="cs"/>
          <w:vertAlign w:val="baseline"/>
          <w:rtl/>
        </w:rPr>
        <w:t>طُبِع</w:t>
      </w:r>
      <w:r w:rsidRPr="006E28E9">
        <w:rPr>
          <w:rStyle w:val="FootnoteReference"/>
          <w:vertAlign w:val="baseline"/>
          <w:rtl/>
        </w:rPr>
        <w:t xml:space="preserve"> بهم</w:t>
      </w:r>
      <w:r w:rsidRPr="006E28E9">
        <w:rPr>
          <w:rStyle w:val="FootnoteReference"/>
          <w:rFonts w:hint="cs"/>
          <w:vertAlign w:val="baseline"/>
          <w:rtl/>
        </w:rPr>
        <w:t>ّ</w:t>
      </w:r>
      <w:r w:rsidRPr="006E28E9">
        <w:rPr>
          <w:rStyle w:val="FootnoteReference"/>
          <w:vertAlign w:val="baseline"/>
          <w:rtl/>
        </w:rPr>
        <w:t>ة علي أصغر الغروي، طهران، 1377 هـ.ش</w:t>
      </w:r>
      <w:r w:rsidRPr="006E28E9">
        <w:rPr>
          <w:rStyle w:val="FootnoteReference"/>
          <w:rFonts w:hint="cs"/>
          <w:vertAlign w:val="baseline"/>
          <w:rtl/>
        </w:rPr>
        <w:t>/ 1998م.</w:t>
      </w:r>
    </w:p>
  </w:footnote>
  <w:footnote w:id="34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أُدرج هذا الحوار في موقع «</w:t>
      </w:r>
      <w:r w:rsidRPr="008C7124">
        <w:rPr>
          <w:rStyle w:val="Char9"/>
          <w:rFonts w:hint="cs"/>
          <w:sz w:val="20"/>
          <w:szCs w:val="20"/>
          <w:rtl/>
        </w:rPr>
        <w:t>مسلمون</w:t>
      </w:r>
      <w:r w:rsidRPr="006E28E9">
        <w:rPr>
          <w:rStyle w:val="FootnoteReference"/>
          <w:rFonts w:hint="cs"/>
          <w:vertAlign w:val="baseline"/>
          <w:rtl/>
        </w:rPr>
        <w:t xml:space="preserve">» على شبكة الإنترنت ويحمل تاريخ 16/6/2004م، وأشير إلى عبد الرحيم [ملازهي] البلوشي بوصفه </w:t>
      </w:r>
      <w:r w:rsidRPr="006E28E9">
        <w:rPr>
          <w:rFonts w:hint="cs"/>
          <w:rtl/>
        </w:rPr>
        <w:t xml:space="preserve">مدير </w:t>
      </w:r>
      <w:r w:rsidRPr="006E28E9">
        <w:rPr>
          <w:rStyle w:val="FootnoteReference"/>
          <w:rFonts w:hint="cs"/>
          <w:vertAlign w:val="baseline"/>
          <w:rtl/>
        </w:rPr>
        <w:t xml:space="preserve">موقع </w:t>
      </w:r>
      <w:r w:rsidRPr="006E28E9">
        <w:rPr>
          <w:rFonts w:hint="cs"/>
          <w:rtl/>
        </w:rPr>
        <w:t>«أ</w:t>
      </w:r>
      <w:r w:rsidRPr="006E28E9">
        <w:rPr>
          <w:rStyle w:val="FootnoteReference"/>
          <w:rFonts w:hint="cs"/>
          <w:vertAlign w:val="baseline"/>
          <w:rtl/>
        </w:rPr>
        <w:t xml:space="preserve">هل السنة في إيران» على شبكة الإنترنت في لندن. </w:t>
      </w:r>
    </w:p>
  </w:footnote>
  <w:footnote w:id="34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المقصود بالحوزوية الانتماء إلى الحوزات العلمية أي مراكز الدراسات الدينية الشيعية في قم والنجف ا</w:t>
      </w:r>
      <w:r w:rsidRPr="006E28E9">
        <w:rPr>
          <w:rFonts w:hint="cs"/>
          <w:rtl/>
        </w:rPr>
        <w:t>لتي يتخرّج منها</w:t>
      </w:r>
      <w:r w:rsidRPr="006E28E9">
        <w:rPr>
          <w:rStyle w:val="FootnoteReference"/>
          <w:rFonts w:hint="cs"/>
          <w:vertAlign w:val="baseline"/>
          <w:rtl/>
        </w:rPr>
        <w:t xml:space="preserve"> علماء الدين الشيعة المعممون. (المُتَرْجِمُ)</w:t>
      </w:r>
    </w:p>
  </w:footnote>
  <w:footnote w:id="34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[أصحاب الإمام طبقاً لرواية وثائق السافاك]، العدد 37، ص 232 - 233.</w:t>
      </w:r>
    </w:p>
  </w:footnote>
  <w:footnote w:id="34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إمام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در آئ</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مرآة الوثائق]، ج 7، ص 144 - 145، وانظروا الصفحات الأخرى وسائر المجلات. وانظروا أيضًا فهرس الأعلام في الكتاب ذاته، ج 22، ذيل اسم</w:t>
      </w:r>
      <w:r w:rsidRPr="006E28E9">
        <w:rPr>
          <w:rFonts w:hint="cs"/>
          <w:rtl/>
        </w:rPr>
        <w:t>:</w:t>
      </w:r>
      <w:r w:rsidRPr="006E28E9">
        <w:rPr>
          <w:rStyle w:val="FootnoteReference"/>
          <w:rFonts w:hint="cs"/>
          <w:vertAlign w:val="baseline"/>
          <w:rtl/>
        </w:rPr>
        <w:t xml:space="preserve"> صادقي، محمد.</w:t>
      </w:r>
    </w:p>
  </w:footnote>
  <w:footnote w:id="34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إمام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در آئ</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مرآة الوثائق]، ج 5، ص 483، وملاحظة بقية الوثائق تدل أيضًا على المواقف الثورية للسيد صادقي. جاء في أحد الوثائق: «تقرر أن يذهب بعض طلاب علوم الدين وعلى رأسهم الشيخ محمد صادقي إلى منزل حضرة آية الله السيد محمود الشاهرودي، وأصرّوا عليه وألحوا بشدة أن يذهب للقاء السيد الخميني». ص 511.</w:t>
      </w:r>
    </w:p>
  </w:footnote>
  <w:footnote w:id="34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إمام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در آئ</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مرآة الوثائق]، ج 10، ص 136. والحقيقة أن صادقي كان في ذلك الوقت في لبنان، وحسب معلوماتي كان جلال الدين الفارسي هو الذي قام بتصحيح كتاب ولاية الفقيه. لذا لابد من المزيد من التحقيق في هذا الموضوع. ولعل المقصود تصحيح النص العربي للكتاب. كان صادقي في ذلك الزمن في بيروت ولما شاهد طرد الإيرانيين من العراق قام بإعداد وثيقة وق</w:t>
      </w:r>
      <w:r w:rsidRPr="006E28E9">
        <w:rPr>
          <w:rFonts w:hint="cs"/>
          <w:rtl/>
        </w:rPr>
        <w:t>َّ</w:t>
      </w:r>
      <w:r w:rsidRPr="006E28E9">
        <w:rPr>
          <w:rStyle w:val="FootnoteReference"/>
          <w:rFonts w:hint="cs"/>
          <w:vertAlign w:val="baseline"/>
          <w:rtl/>
        </w:rPr>
        <w:t xml:space="preserve">عها 150 لبنانياً أرسلوها إلى الإمام </w:t>
      </w:r>
      <w:r w:rsidRPr="006E28E9">
        <w:rPr>
          <w:rFonts w:hint="cs"/>
          <w:rtl/>
        </w:rPr>
        <w:t xml:space="preserve">الخميني </w:t>
      </w:r>
      <w:r w:rsidRPr="006E28E9">
        <w:rPr>
          <w:rStyle w:val="FootnoteReference"/>
          <w:rFonts w:hint="cs"/>
          <w:vertAlign w:val="baseline"/>
          <w:rtl/>
        </w:rPr>
        <w:t xml:space="preserve">دعوه فيها إلى السفر إلى لبنان. </w:t>
      </w:r>
      <w:r w:rsidRPr="006E28E9">
        <w:rPr>
          <w:rStyle w:val="FootnoteReference"/>
          <w:rFonts w:hint="cs"/>
          <w:b/>
          <w:bCs/>
          <w:vertAlign w:val="baseline"/>
          <w:rtl/>
        </w:rPr>
        <w:t>المصدر نفسه</w:t>
      </w:r>
      <w:r w:rsidRPr="006E28E9">
        <w:rPr>
          <w:rStyle w:val="FootnoteReference"/>
          <w:rFonts w:hint="cs"/>
          <w:vertAlign w:val="baseline"/>
          <w:rtl/>
        </w:rPr>
        <w:t>، ص 201. وكان لصادقي صهر أيضًا - يبدو أن اسمه كان نفري خر</w:t>
      </w:r>
      <w:r w:rsidRPr="006E28E9">
        <w:rPr>
          <w:rFonts w:hint="cs"/>
          <w:rtl/>
        </w:rPr>
        <w:t>ا</w:t>
      </w:r>
      <w:r w:rsidRPr="006E28E9">
        <w:rPr>
          <w:rStyle w:val="FootnoteReference"/>
          <w:rFonts w:hint="cs"/>
          <w:vertAlign w:val="baseline"/>
          <w:rtl/>
        </w:rPr>
        <w:t>ساني - كان ناشطاً أيضًا ثم واجه صعوبات جمة فيما بعد.</w:t>
      </w:r>
    </w:p>
  </w:footnote>
  <w:footnote w:id="34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إمام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در آئ</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مرآة الوثائق]، ج 11، ص 90 (هذه الوثيقة تتعلق بلحظات ورود الإمام إلى بغداد)، وقد أشار السافاك في تقرير آخر إلى عزلته النسبية في العراق. </w:t>
      </w:r>
      <w:r w:rsidRPr="006E28E9">
        <w:rPr>
          <w:rStyle w:val="FootnoteReference"/>
          <w:rFonts w:hint="cs"/>
          <w:b/>
          <w:bCs/>
          <w:vertAlign w:val="baseline"/>
          <w:rtl/>
        </w:rPr>
        <w:t>المصدر نفسه</w:t>
      </w:r>
      <w:r w:rsidRPr="006E28E9">
        <w:rPr>
          <w:rStyle w:val="FootnoteReference"/>
          <w:rFonts w:hint="cs"/>
          <w:vertAlign w:val="baseline"/>
          <w:rtl/>
        </w:rPr>
        <w:t xml:space="preserve">، ص 213. ولمعرفة بعض التفاصيل حول صادقي وأسرته سنة 1355 هـ.ش انظروا: </w:t>
      </w:r>
      <w:r w:rsidRPr="006E28E9">
        <w:rPr>
          <w:rStyle w:val="FootnoteReference"/>
          <w:rFonts w:hint="cs"/>
          <w:b/>
          <w:bCs/>
          <w:vertAlign w:val="baseline"/>
          <w:rtl/>
        </w:rPr>
        <w:t>المصدر نفسه</w:t>
      </w:r>
      <w:r w:rsidRPr="006E28E9">
        <w:rPr>
          <w:rStyle w:val="FootnoteReference"/>
          <w:rFonts w:hint="cs"/>
          <w:vertAlign w:val="baseline"/>
          <w:rtl/>
        </w:rPr>
        <w:t xml:space="preserve">، ص 540 - 541، وأيضاً حول طلبه من السفارة الإيرانية في لبنان أن يعود إلى وطنه وما أجابت به السفارة على طلبه انظروا: </w:t>
      </w:r>
      <w:r w:rsidRPr="006E28E9">
        <w:rPr>
          <w:rStyle w:val="FootnoteReference"/>
          <w:rFonts w:hint="cs"/>
          <w:b/>
          <w:bCs/>
          <w:vertAlign w:val="baseline"/>
          <w:rtl/>
        </w:rPr>
        <w:t>المصدر نفسه</w:t>
      </w:r>
      <w:r w:rsidRPr="006E28E9">
        <w:rPr>
          <w:rStyle w:val="FootnoteReference"/>
          <w:rFonts w:hint="cs"/>
          <w:vertAlign w:val="baseline"/>
          <w:rtl/>
        </w:rPr>
        <w:t>، ص 543. وقد اعتُقِل صهره أيضًا لدى عودته إلى إيران وسرعان ما أظهر الندم.</w:t>
      </w:r>
    </w:p>
  </w:footnote>
  <w:footnote w:id="35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تاريخ هارو</w:t>
      </w:r>
      <w:r w:rsidRPr="006E28E9">
        <w:rPr>
          <w:rFonts w:hint="cs"/>
          <w:b/>
          <w:bCs/>
          <w:rtl/>
        </w:rPr>
        <w:t>ر</w:t>
      </w:r>
      <w:r w:rsidRPr="006E28E9">
        <w:rPr>
          <w:rStyle w:val="FootnoteReference"/>
          <w:rFonts w:hint="cs"/>
          <w:b/>
          <w:bCs/>
          <w:vertAlign w:val="baseline"/>
          <w:rtl/>
        </w:rPr>
        <w:t>د الشفهي</w:t>
      </w:r>
      <w:r w:rsidRPr="006E28E9">
        <w:rPr>
          <w:rStyle w:val="FootnoteReference"/>
          <w:rFonts w:hint="cs"/>
          <w:vertAlign w:val="baseline"/>
          <w:rtl/>
        </w:rPr>
        <w:t>، موسى الموسوي الأصفهاني، ص 157 - 258.</w:t>
      </w:r>
    </w:p>
  </w:footnote>
  <w:footnote w:id="35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نُشِرَت بعض الاستجوابات التي تمت معه في كتاب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[أ</w:t>
      </w:r>
      <w:r w:rsidRPr="006E28E9">
        <w:rPr>
          <w:rFonts w:hint="cs"/>
          <w:rtl/>
        </w:rPr>
        <w:t>صحاب</w:t>
      </w:r>
      <w:r w:rsidRPr="006E28E9">
        <w:rPr>
          <w:rStyle w:val="FootnoteReference"/>
          <w:rFonts w:hint="cs"/>
          <w:vertAlign w:val="baseline"/>
          <w:rtl/>
        </w:rPr>
        <w:t xml:space="preserve"> الإمام برواية وثائق السافاك]، العدد 38 (الشهيد محمد منتظري). بعد انتصار الثورة عمل في وزارة الزراعة ولكنه اعتُقِل فيما بعد ضمن حادثة عزل آية الله منتظري وذلك بسبب تعاونه مع تيار السيد مهدي هاشمي وسُجِن فترة من الزمن ثم أُطْلِق سراحه.</w:t>
      </w:r>
    </w:p>
  </w:footnote>
  <w:footnote w:id="35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مفت خواران از د</w:t>
      </w:r>
      <w:r>
        <w:rPr>
          <w:rStyle w:val="Char9"/>
          <w:rFonts w:hint="cs"/>
          <w:sz w:val="20"/>
          <w:szCs w:val="20"/>
          <w:rtl/>
        </w:rPr>
        <w:t>ی</w:t>
      </w:r>
      <w:r w:rsidRPr="008C7124">
        <w:rPr>
          <w:rStyle w:val="Char9"/>
          <w:rFonts w:hint="cs"/>
          <w:sz w:val="20"/>
          <w:szCs w:val="20"/>
          <w:rtl/>
        </w:rPr>
        <w:t xml:space="preserve">دگاه </w:t>
      </w:r>
      <w:r>
        <w:rPr>
          <w:rStyle w:val="Char9"/>
          <w:rFonts w:hint="cs"/>
          <w:sz w:val="20"/>
          <w:szCs w:val="20"/>
          <w:rtl/>
        </w:rPr>
        <w:t>ک</w:t>
      </w:r>
      <w:r w:rsidRPr="008C7124">
        <w:rPr>
          <w:rStyle w:val="Char9"/>
          <w:rFonts w:hint="cs"/>
          <w:sz w:val="20"/>
          <w:szCs w:val="20"/>
          <w:rtl/>
        </w:rPr>
        <w:t>تاب و سنت، زندگى</w:t>
      </w:r>
      <w:r w:rsidRPr="006E28E9">
        <w:rPr>
          <w:rStyle w:val="FootnoteReference"/>
          <w:rFonts w:ascii="mylotus" w:hAnsi="mylotus" w:cs="Times New Roman" w:hint="cs"/>
          <w:b/>
          <w:bCs/>
          <w:vertAlign w:val="baseline"/>
          <w:rtl/>
        </w:rPr>
        <w:t>‌</w:t>
      </w:r>
      <w:r w:rsidRPr="008C7124">
        <w:rPr>
          <w:rStyle w:val="Char9"/>
          <w:rFonts w:hint="cs"/>
          <w:sz w:val="20"/>
          <w:szCs w:val="20"/>
          <w:rtl/>
        </w:rPr>
        <w:t>نامه مؤلف</w:t>
      </w:r>
      <w:r w:rsidRPr="006E28E9">
        <w:rPr>
          <w:rStyle w:val="FootnoteReference"/>
          <w:rFonts w:hint="cs"/>
          <w:vertAlign w:val="baseline"/>
          <w:rtl/>
        </w:rPr>
        <w:t xml:space="preserve"> [الطفيليون الذين يعتاشون على أموال الآخرين من منظور الكتاب والسنة، ترجمة سيرة المؤلف]، ص 53 - 57.</w:t>
      </w:r>
    </w:p>
  </w:footnote>
  <w:footnote w:id="35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مفت خواران از د</w:t>
      </w:r>
      <w:r>
        <w:rPr>
          <w:rStyle w:val="Char9"/>
          <w:rFonts w:hint="cs"/>
          <w:sz w:val="20"/>
          <w:szCs w:val="20"/>
          <w:rtl/>
        </w:rPr>
        <w:t>ی</w:t>
      </w:r>
      <w:r w:rsidRPr="008C7124">
        <w:rPr>
          <w:rStyle w:val="Char9"/>
          <w:rFonts w:hint="cs"/>
          <w:sz w:val="20"/>
          <w:szCs w:val="20"/>
          <w:rtl/>
        </w:rPr>
        <w:t xml:space="preserve">دگاه </w:t>
      </w:r>
      <w:r>
        <w:rPr>
          <w:rStyle w:val="Char9"/>
          <w:rFonts w:hint="cs"/>
          <w:sz w:val="20"/>
          <w:szCs w:val="20"/>
          <w:rtl/>
        </w:rPr>
        <w:t>ک</w:t>
      </w:r>
      <w:r w:rsidRPr="008C7124">
        <w:rPr>
          <w:rStyle w:val="Char9"/>
          <w:rFonts w:hint="cs"/>
          <w:sz w:val="20"/>
          <w:szCs w:val="20"/>
          <w:rtl/>
        </w:rPr>
        <w:t>تاب و سنت</w:t>
      </w:r>
      <w:r w:rsidRPr="006E28E9">
        <w:rPr>
          <w:rStyle w:val="FootnoteReference"/>
          <w:rFonts w:hint="cs"/>
          <w:vertAlign w:val="baseline"/>
          <w:rtl/>
        </w:rPr>
        <w:t>، [الطفيليون الذين يعتاشون على أموال الآخرين من منظور الكتاب والسنة]، ص 51.</w:t>
      </w:r>
    </w:p>
  </w:footnote>
  <w:footnote w:id="35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فقه گو</w:t>
      </w:r>
      <w:r>
        <w:rPr>
          <w:rStyle w:val="Char9"/>
          <w:rFonts w:hint="cs"/>
          <w:sz w:val="20"/>
          <w:szCs w:val="20"/>
          <w:rtl/>
        </w:rPr>
        <w:t>ی</w:t>
      </w:r>
      <w:r w:rsidRPr="008C7124">
        <w:rPr>
          <w:rStyle w:val="Char9"/>
          <w:rFonts w:hint="cs"/>
          <w:sz w:val="20"/>
          <w:szCs w:val="20"/>
          <w:rtl/>
        </w:rPr>
        <w:t xml:space="preserve">ا </w:t>
      </w:r>
      <w:r>
        <w:rPr>
          <w:rStyle w:val="Char9"/>
          <w:rFonts w:hint="cs"/>
          <w:sz w:val="20"/>
          <w:szCs w:val="20"/>
          <w:rtl/>
        </w:rPr>
        <w:t>ی</w:t>
      </w:r>
      <w:r w:rsidRPr="008C7124">
        <w:rPr>
          <w:rStyle w:val="Char9"/>
          <w:rFonts w:hint="cs"/>
          <w:sz w:val="20"/>
          <w:szCs w:val="20"/>
          <w:rtl/>
        </w:rPr>
        <w:t>ا فقه سنتى، فقه پو</w:t>
      </w:r>
      <w:r>
        <w:rPr>
          <w:rStyle w:val="Char9"/>
          <w:rFonts w:hint="cs"/>
          <w:sz w:val="20"/>
          <w:szCs w:val="20"/>
          <w:rtl/>
        </w:rPr>
        <w:t>ی</w:t>
      </w:r>
      <w:r w:rsidRPr="008C7124">
        <w:rPr>
          <w:rStyle w:val="Char9"/>
          <w:rFonts w:hint="cs"/>
          <w:sz w:val="20"/>
          <w:szCs w:val="20"/>
          <w:rtl/>
        </w:rPr>
        <w:t>ا و فقه بشرى؛ نگرشى مختصر در سراسر فقه اسلامى</w:t>
      </w:r>
      <w:r w:rsidRPr="006E28E9">
        <w:rPr>
          <w:rStyle w:val="FootnoteReference"/>
          <w:rFonts w:hint="cs"/>
          <w:vertAlign w:val="baseline"/>
          <w:rtl/>
        </w:rPr>
        <w:t xml:space="preserve"> [الفقه الناطق أو الفقه التقليدي، الفقه المرن المتحرك والفقه البشري، نظرة مختصرة إلى كافة أنحاء الفقه الإسلامي]، قم، اميد فردا، 1383 هـ.ش.</w:t>
      </w:r>
    </w:p>
  </w:footnote>
  <w:footnote w:id="35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مفت خواران</w:t>
      </w:r>
      <w:r w:rsidRPr="006E28E9">
        <w:rPr>
          <w:rFonts w:hint="cs"/>
          <w:rtl/>
        </w:rPr>
        <w:t>...</w:t>
      </w:r>
      <w:r w:rsidRPr="006E28E9">
        <w:rPr>
          <w:rStyle w:val="FootnoteReference"/>
          <w:rFonts w:hint="cs"/>
          <w:vertAlign w:val="baseline"/>
          <w:rtl/>
        </w:rPr>
        <w:t xml:space="preserve"> [الطفيليون ا</w:t>
      </w:r>
      <w:r w:rsidRPr="006E28E9">
        <w:rPr>
          <w:rFonts w:hint="cs"/>
          <w:rtl/>
        </w:rPr>
        <w:t>لمعتاشون</w:t>
      </w:r>
      <w:r w:rsidRPr="006E28E9">
        <w:rPr>
          <w:rStyle w:val="FootnoteReference"/>
          <w:rFonts w:hint="cs"/>
          <w:vertAlign w:val="baseline"/>
          <w:rtl/>
        </w:rPr>
        <w:t xml:space="preserve"> على أموال الآخرين</w:t>
      </w:r>
      <w:r w:rsidRPr="006E28E9">
        <w:rPr>
          <w:rFonts w:hint="cs"/>
          <w:rtl/>
        </w:rPr>
        <w:t>...</w:t>
      </w:r>
      <w:r w:rsidRPr="006E28E9">
        <w:rPr>
          <w:rStyle w:val="FootnoteReference"/>
          <w:rFonts w:hint="cs"/>
          <w:vertAlign w:val="baseline"/>
          <w:rtl/>
        </w:rPr>
        <w:t>]، ص 60.</w:t>
      </w:r>
    </w:p>
  </w:footnote>
  <w:footnote w:id="35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آفر</w:t>
      </w:r>
      <w:r>
        <w:rPr>
          <w:rStyle w:val="Char9"/>
          <w:rFonts w:hint="cs"/>
          <w:sz w:val="20"/>
          <w:szCs w:val="20"/>
          <w:rtl/>
        </w:rPr>
        <w:t>ی</w:t>
      </w:r>
      <w:r w:rsidRPr="008C7124">
        <w:rPr>
          <w:rStyle w:val="Char9"/>
          <w:rFonts w:hint="cs"/>
          <w:sz w:val="20"/>
          <w:szCs w:val="20"/>
          <w:rtl/>
        </w:rPr>
        <w:t>دگار وآفر</w:t>
      </w:r>
      <w:r>
        <w:rPr>
          <w:rStyle w:val="Char9"/>
          <w:rFonts w:hint="cs"/>
          <w:sz w:val="20"/>
          <w:szCs w:val="20"/>
          <w:rtl/>
        </w:rPr>
        <w:t>ی</w:t>
      </w:r>
      <w:r w:rsidRPr="008C7124">
        <w:rPr>
          <w:rStyle w:val="Char9"/>
          <w:rFonts w:hint="cs"/>
          <w:sz w:val="20"/>
          <w:szCs w:val="20"/>
          <w:rtl/>
        </w:rPr>
        <w:t>ده</w:t>
      </w:r>
      <w:r w:rsidRPr="006E28E9">
        <w:rPr>
          <w:rStyle w:val="FootnoteReference"/>
          <w:rFonts w:hint="cs"/>
          <w:vertAlign w:val="baseline"/>
          <w:rtl/>
        </w:rPr>
        <w:t xml:space="preserve"> [الخالق والمخلوق]، ص 103. </w:t>
      </w:r>
      <w:r w:rsidRPr="006E28E9">
        <w:rPr>
          <w:rStyle w:val="FootnoteReference"/>
          <w:vertAlign w:val="baseline"/>
          <w:rtl/>
        </w:rPr>
        <w:t xml:space="preserve"> </w:t>
      </w:r>
    </w:p>
  </w:footnote>
  <w:footnote w:id="35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حول تقرير بشأن هذه المؤسسة انظروا: </w:t>
      </w:r>
      <w:r w:rsidRPr="008C7124">
        <w:rPr>
          <w:rStyle w:val="Char9"/>
          <w:rFonts w:hint="cs"/>
          <w:sz w:val="20"/>
          <w:szCs w:val="20"/>
          <w:rtl/>
        </w:rPr>
        <w:t>مفت خواران</w:t>
      </w:r>
      <w:r w:rsidRPr="006E28E9">
        <w:rPr>
          <w:rStyle w:val="FootnoteReference"/>
          <w:rFonts w:hint="cs"/>
          <w:vertAlign w:val="baseline"/>
          <w:rtl/>
        </w:rPr>
        <w:t>....، ص 48 - 52.</w:t>
      </w:r>
      <w:r w:rsidRPr="006E28E9">
        <w:rPr>
          <w:rStyle w:val="FootnoteReference"/>
          <w:vertAlign w:val="baseline"/>
          <w:rtl/>
        </w:rPr>
        <w:t xml:space="preserve"> </w:t>
      </w:r>
    </w:p>
  </w:footnote>
  <w:footnote w:id="35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أي الرد على كتاب الآيات الشيطانية الذي ألفه الأفاك المرتد سلمان رشدي. (المُتَرْجِمُ)</w:t>
      </w:r>
      <w:r w:rsidRPr="006E28E9">
        <w:rPr>
          <w:rStyle w:val="FootnoteReference"/>
          <w:vertAlign w:val="baseline"/>
          <w:rtl/>
        </w:rPr>
        <w:t xml:space="preserve"> </w:t>
      </w:r>
    </w:p>
  </w:footnote>
  <w:footnote w:id="35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6E28E9">
        <w:rPr>
          <w:rStyle w:val="FootnoteReference"/>
          <w:rFonts w:hint="cs"/>
          <w:b/>
          <w:bCs/>
          <w:vertAlign w:val="baseline"/>
          <w:rtl/>
        </w:rPr>
        <w:t>رساله توضيح المسائل نوين</w:t>
      </w:r>
      <w:r w:rsidRPr="006E28E9">
        <w:rPr>
          <w:rStyle w:val="FootnoteReference"/>
          <w:rFonts w:hint="cs"/>
          <w:vertAlign w:val="baseline"/>
          <w:rtl/>
        </w:rPr>
        <w:t>، ص 9 - 10.</w:t>
      </w:r>
      <w:r w:rsidRPr="006E28E9">
        <w:rPr>
          <w:rStyle w:val="FootnoteReference"/>
          <w:vertAlign w:val="baseline"/>
          <w:rtl/>
        </w:rPr>
        <w:t xml:space="preserve"> </w:t>
      </w:r>
    </w:p>
  </w:footnote>
  <w:footnote w:id="360">
    <w:p w:rsidR="008C7124" w:rsidRPr="007C1704" w:rsidRDefault="008C7124" w:rsidP="007C1704">
      <w:pPr>
        <w:pStyle w:val="FootnoteText"/>
        <w:rPr>
          <w:rStyle w:val="FootnoteReference"/>
          <w:spacing w:val="-4"/>
          <w:vertAlign w:val="baseline"/>
          <w:rtl/>
        </w:rPr>
      </w:pPr>
      <w:r w:rsidRPr="007C1704">
        <w:rPr>
          <w:rStyle w:val="FootnoteReference"/>
          <w:rFonts w:ascii="Arabic11 BT" w:hAnsi="Arabic11 BT" w:cs="Arabic11 BT"/>
          <w:spacing w:val="-4"/>
          <w:vertAlign w:val="baseline"/>
        </w:rPr>
        <w:footnoteRef/>
      </w:r>
      <w:r w:rsidRPr="007C1704">
        <w:rPr>
          <w:rStyle w:val="FootnoteReference"/>
          <w:rFonts w:hint="cs"/>
          <w:spacing w:val="-4"/>
          <w:vertAlign w:val="baseline"/>
          <w:rtl/>
        </w:rPr>
        <w:t xml:space="preserve">. كان هناك عدد من الفقهاء الأخباريين أيضًا، في عهد الصفويين، يعتقدون بوجوب صلاة الجمعة [في عصر الغيبة] استناداً إلى بعض الأخبار وعدم اشتراطها حضور مجتهد عادل؛ أما الاعتقاد بوجوب صلاة الجمعة في هذا الاتجاه الجديد فإن مصدره الاهتمام </w:t>
      </w:r>
      <w:r w:rsidRPr="007C1704">
        <w:rPr>
          <w:rFonts w:hint="cs"/>
          <w:spacing w:val="-4"/>
          <w:rtl/>
        </w:rPr>
        <w:t xml:space="preserve">الزائد </w:t>
      </w:r>
      <w:r w:rsidRPr="007C1704">
        <w:rPr>
          <w:rStyle w:val="FootnoteReference"/>
          <w:rFonts w:hint="cs"/>
          <w:spacing w:val="-4"/>
          <w:vertAlign w:val="baseline"/>
          <w:rtl/>
        </w:rPr>
        <w:t xml:space="preserve">بالقرآن أكثر من أي شيء آخر وإهمال الحديث جانبًا. قال لي السيد صادقي: </w:t>
      </w:r>
      <w:r w:rsidRPr="007C1704">
        <w:rPr>
          <w:rFonts w:hint="cs"/>
          <w:spacing w:val="-4"/>
          <w:rtl/>
          <w:lang w:bidi="ar-SY"/>
        </w:rPr>
        <w:t>«</w:t>
      </w:r>
      <w:r w:rsidRPr="007C1704">
        <w:rPr>
          <w:rStyle w:val="FootnoteReference"/>
          <w:rFonts w:hint="cs"/>
          <w:spacing w:val="-4"/>
          <w:vertAlign w:val="baseline"/>
          <w:rtl/>
        </w:rPr>
        <w:t xml:space="preserve">في كتابي </w:t>
      </w:r>
      <w:r w:rsidRPr="007C1704">
        <w:rPr>
          <w:rStyle w:val="FootnoteReference"/>
          <w:rFonts w:hint="cs"/>
          <w:b/>
          <w:bCs/>
          <w:spacing w:val="-4"/>
          <w:vertAlign w:val="baseline"/>
          <w:rtl/>
        </w:rPr>
        <w:t>غوص</w:t>
      </w:r>
      <w:r w:rsidRPr="007C1704">
        <w:rPr>
          <w:rFonts w:hint="cs"/>
          <w:b/>
          <w:bCs/>
          <w:spacing w:val="-4"/>
          <w:rtl/>
        </w:rPr>
        <w:t>ٌ</w:t>
      </w:r>
      <w:r w:rsidRPr="007C1704">
        <w:rPr>
          <w:rStyle w:val="FootnoteReference"/>
          <w:rFonts w:hint="cs"/>
          <w:b/>
          <w:bCs/>
          <w:spacing w:val="-4"/>
          <w:vertAlign w:val="baseline"/>
          <w:rtl/>
        </w:rPr>
        <w:t xml:space="preserve"> في البحار</w:t>
      </w:r>
      <w:r w:rsidRPr="007C1704">
        <w:rPr>
          <w:rStyle w:val="FootnoteReference"/>
          <w:rFonts w:hint="cs"/>
          <w:spacing w:val="-4"/>
          <w:vertAlign w:val="baseline"/>
          <w:rtl/>
        </w:rPr>
        <w:t xml:space="preserve"> الذي كتبتُه في نقد متون الأحاديث الشيعية والسنية، لو رأيتُ مثلاً في باب «حكم بيع العنب لمن يقوم بصناعة الخمر» 50 حديثاً، 49 منها يجيز ذلك </w:t>
      </w:r>
      <w:r w:rsidRPr="007C1704">
        <w:rPr>
          <w:rFonts w:hint="cs"/>
          <w:spacing w:val="-4"/>
          <w:rtl/>
        </w:rPr>
        <w:t xml:space="preserve">البيع </w:t>
      </w:r>
      <w:r w:rsidRPr="007C1704">
        <w:rPr>
          <w:rStyle w:val="FootnoteReference"/>
          <w:rFonts w:hint="cs"/>
          <w:spacing w:val="-4"/>
          <w:vertAlign w:val="baseline"/>
          <w:rtl/>
        </w:rPr>
        <w:t>وواحدًا منها لا يجيز</w:t>
      </w:r>
      <w:r w:rsidRPr="007C1704">
        <w:rPr>
          <w:rFonts w:hint="cs"/>
          <w:spacing w:val="-4"/>
          <w:rtl/>
        </w:rPr>
        <w:t>ه</w:t>
      </w:r>
      <w:r w:rsidRPr="007C1704">
        <w:rPr>
          <w:rStyle w:val="FootnoteReference"/>
          <w:rFonts w:hint="cs"/>
          <w:spacing w:val="-4"/>
          <w:vertAlign w:val="baseline"/>
          <w:rtl/>
        </w:rPr>
        <w:t xml:space="preserve">، فإني آخذ بهذا الحديث الواحد لأنه يتفق مع القرآن الذي جاء فيه </w:t>
      </w:r>
      <w:r w:rsidRPr="007C1704">
        <w:rPr>
          <w:rStyle w:val="FootnoteReference"/>
          <w:rFonts w:cs="CTraditional Arabic" w:hint="cs"/>
          <w:spacing w:val="-4"/>
          <w:vertAlign w:val="baseline"/>
          <w:rtl/>
        </w:rPr>
        <w:t>﴿</w:t>
      </w:r>
      <w:r w:rsidRPr="007C1704">
        <w:rPr>
          <w:rStyle w:val="Char1"/>
          <w:rFonts w:hint="cs"/>
          <w:spacing w:val="-4"/>
          <w:sz w:val="24"/>
          <w:szCs w:val="24"/>
          <w:rtl/>
        </w:rPr>
        <w:t>وَلَا</w:t>
      </w:r>
      <w:r w:rsidRPr="007C1704">
        <w:rPr>
          <w:rStyle w:val="Char1"/>
          <w:spacing w:val="-4"/>
          <w:sz w:val="24"/>
          <w:szCs w:val="24"/>
          <w:rtl/>
        </w:rPr>
        <w:t xml:space="preserve"> </w:t>
      </w:r>
      <w:r w:rsidRPr="007C1704">
        <w:rPr>
          <w:rStyle w:val="Char1"/>
          <w:rFonts w:hint="cs"/>
          <w:spacing w:val="-4"/>
          <w:sz w:val="24"/>
          <w:szCs w:val="24"/>
          <w:rtl/>
        </w:rPr>
        <w:t>تَعَاوَنُواْ</w:t>
      </w:r>
      <w:r w:rsidRPr="007C1704">
        <w:rPr>
          <w:rStyle w:val="Char1"/>
          <w:spacing w:val="-4"/>
          <w:sz w:val="24"/>
          <w:szCs w:val="24"/>
          <w:rtl/>
        </w:rPr>
        <w:t xml:space="preserve"> </w:t>
      </w:r>
      <w:r w:rsidRPr="007C1704">
        <w:rPr>
          <w:rStyle w:val="Char1"/>
          <w:rFonts w:hint="cs"/>
          <w:spacing w:val="-4"/>
          <w:sz w:val="24"/>
          <w:szCs w:val="24"/>
          <w:rtl/>
        </w:rPr>
        <w:t>عَلَى</w:t>
      </w:r>
      <w:r w:rsidRPr="007C1704">
        <w:rPr>
          <w:rStyle w:val="Char1"/>
          <w:spacing w:val="-4"/>
          <w:sz w:val="24"/>
          <w:szCs w:val="24"/>
          <w:rtl/>
        </w:rPr>
        <w:t xml:space="preserve"> </w:t>
      </w:r>
      <w:r w:rsidRPr="007C1704">
        <w:rPr>
          <w:rStyle w:val="Char1"/>
          <w:rFonts w:hint="cs"/>
          <w:spacing w:val="-4"/>
          <w:sz w:val="24"/>
          <w:szCs w:val="24"/>
          <w:rtl/>
        </w:rPr>
        <w:t>ٱلۡإِثۡمِ</w:t>
      </w:r>
      <w:r w:rsidRPr="007C1704">
        <w:rPr>
          <w:rStyle w:val="Char1"/>
          <w:spacing w:val="-4"/>
          <w:sz w:val="24"/>
          <w:szCs w:val="24"/>
          <w:rtl/>
        </w:rPr>
        <w:t xml:space="preserve"> </w:t>
      </w:r>
      <w:r w:rsidRPr="007C1704">
        <w:rPr>
          <w:rStyle w:val="Char1"/>
          <w:rFonts w:hint="cs"/>
          <w:spacing w:val="-4"/>
          <w:sz w:val="24"/>
          <w:szCs w:val="24"/>
          <w:rtl/>
        </w:rPr>
        <w:t>وَٱلۡعُدۡوَٰنِ</w:t>
      </w:r>
      <w:r w:rsidRPr="007C1704">
        <w:rPr>
          <w:rFonts w:ascii="Traditional Arabic" w:hAnsi="Traditional Arabic" w:cs="Traditional Arabic"/>
          <w:spacing w:val="-4"/>
          <w:rtl/>
        </w:rPr>
        <w:t>﴾</w:t>
      </w:r>
      <w:r w:rsidRPr="007C1704">
        <w:rPr>
          <w:rStyle w:val="FootnoteReference"/>
          <w:rFonts w:hint="cs"/>
          <w:spacing w:val="-4"/>
          <w:vertAlign w:val="baseline"/>
          <w:rtl/>
        </w:rPr>
        <w:t xml:space="preserve"> وأدع جانباً الأحاديث التسعة والأربعين». </w:t>
      </w:r>
    </w:p>
    <w:p w:rsidR="008C7124" w:rsidRPr="006E28E9" w:rsidRDefault="008C7124" w:rsidP="007C1704">
      <w:pPr>
        <w:pStyle w:val="FootnoteText"/>
        <w:ind w:firstLine="0"/>
        <w:rPr>
          <w:rStyle w:val="FootnoteReference"/>
          <w:vertAlign w:val="baseline"/>
        </w:rPr>
      </w:pPr>
      <w:r w:rsidRPr="006E28E9">
        <w:rPr>
          <w:rStyle w:val="FootnoteReference"/>
          <w:rFonts w:hint="cs"/>
          <w:vertAlign w:val="baseline"/>
          <w:rtl/>
        </w:rPr>
        <w:t xml:space="preserve">وأقول: إن دراسة موضوع صلاة الجمعة أيضًا بعد تاريخ 20 شهريور، بحث قائم بذاته. ذلك أن كثيرًا من علماء الدين في المدن </w:t>
      </w:r>
      <w:r w:rsidRPr="006E28E9">
        <w:rPr>
          <w:rFonts w:hint="cs"/>
          <w:rtl/>
        </w:rPr>
        <w:t xml:space="preserve">الصغيرة والأرياف </w:t>
      </w:r>
      <w:r w:rsidRPr="006E28E9">
        <w:rPr>
          <w:rStyle w:val="FootnoteReference"/>
          <w:rFonts w:hint="cs"/>
          <w:vertAlign w:val="baseline"/>
          <w:rtl/>
        </w:rPr>
        <w:t xml:space="preserve">في إيران، وبعضهم من أبرز الوجوه العلمية، كانوا يؤكِّدون على </w:t>
      </w:r>
      <w:r w:rsidRPr="006E28E9">
        <w:rPr>
          <w:rFonts w:hint="cs"/>
          <w:rtl/>
        </w:rPr>
        <w:t xml:space="preserve">إقامة </w:t>
      </w:r>
      <w:r w:rsidRPr="006E28E9">
        <w:rPr>
          <w:rStyle w:val="FootnoteReference"/>
          <w:rFonts w:hint="cs"/>
          <w:vertAlign w:val="baseline"/>
          <w:rtl/>
        </w:rPr>
        <w:t>صلاة الجمعة لدورها في إصلاح الوضع ال</w:t>
      </w:r>
      <w:r w:rsidRPr="006E28E9">
        <w:rPr>
          <w:rFonts w:hint="cs"/>
          <w:rtl/>
        </w:rPr>
        <w:t xml:space="preserve">ديني </w:t>
      </w:r>
      <w:r w:rsidRPr="006E28E9">
        <w:rPr>
          <w:rStyle w:val="FootnoteReference"/>
          <w:rFonts w:hint="cs"/>
          <w:vertAlign w:val="baseline"/>
          <w:rtl/>
        </w:rPr>
        <w:t>للمجتمع. وعلى سبيل المثال: وُجِّه سؤالٌ مرَّةً إلى السيد البروجردي، في بداية مرجعيته</w:t>
      </w:r>
      <w:r w:rsidRPr="006E28E9">
        <w:rPr>
          <w:rFonts w:hint="cs"/>
          <w:rtl/>
        </w:rPr>
        <w:t>،</w:t>
      </w:r>
      <w:r w:rsidRPr="006E28E9">
        <w:rPr>
          <w:rStyle w:val="FootnoteReference"/>
          <w:rFonts w:hint="cs"/>
          <w:vertAlign w:val="baseline"/>
          <w:rtl/>
        </w:rPr>
        <w:t xml:space="preserve"> يستفسر منه عن سبب إفتائه بالوجوب التخييري لصلاة الجمعة، فكتب إجابةً عن ذلك، ونجد هذا السؤال والإجابة في مجلة </w:t>
      </w:r>
      <w:r w:rsidRPr="008C7124">
        <w:rPr>
          <w:rStyle w:val="Char9"/>
          <w:rFonts w:hint="cs"/>
          <w:sz w:val="20"/>
          <w:szCs w:val="20"/>
          <w:rtl/>
        </w:rPr>
        <w:t>آ</w:t>
      </w:r>
      <w:r>
        <w:rPr>
          <w:rStyle w:val="Char9"/>
          <w:rFonts w:hint="cs"/>
          <w:sz w:val="20"/>
          <w:szCs w:val="20"/>
          <w:rtl/>
        </w:rPr>
        <w:t>یی</w:t>
      </w:r>
      <w:r w:rsidRPr="008C7124">
        <w:rPr>
          <w:rStyle w:val="Char9"/>
          <w:rFonts w:hint="cs"/>
          <w:sz w:val="20"/>
          <w:szCs w:val="20"/>
          <w:rtl/>
        </w:rPr>
        <w:t>ن إسلام</w:t>
      </w:r>
      <w:r w:rsidRPr="006E28E9">
        <w:rPr>
          <w:rStyle w:val="FootnoteReference"/>
          <w:rFonts w:hint="cs"/>
          <w:vertAlign w:val="baseline"/>
          <w:rtl/>
        </w:rPr>
        <w:t xml:space="preserve">، السنة 4 ، العدد 2 ص 8. وقد تحدث آية الله طالقاني أيضًا في خطبه في مسجد هدايت عن صلاة الجمعة وضرورتها وأهمية هذا الاجتماع الديني (انظروا: </w:t>
      </w:r>
      <w:r w:rsidRPr="008C7124">
        <w:rPr>
          <w:rStyle w:val="Char9"/>
          <w:rFonts w:hint="cs"/>
          <w:sz w:val="20"/>
          <w:szCs w:val="20"/>
          <w:rtl/>
        </w:rPr>
        <w:t>أبو ذر زمان</w:t>
      </w:r>
      <w:r w:rsidRPr="006E28E9">
        <w:rPr>
          <w:rStyle w:val="FootnoteReference"/>
          <w:rFonts w:hint="cs"/>
          <w:vertAlign w:val="baseline"/>
          <w:rtl/>
        </w:rPr>
        <w:t xml:space="preserve">، ج 2، ص 385 - 386، 389 - 390، 393 - 395).       </w:t>
      </w:r>
      <w:r w:rsidRPr="006E28E9">
        <w:rPr>
          <w:rStyle w:val="FootnoteReference"/>
          <w:vertAlign w:val="baseline"/>
          <w:rtl/>
        </w:rPr>
        <w:t xml:space="preserve"> </w:t>
      </w:r>
    </w:p>
  </w:footnote>
  <w:footnote w:id="36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في هذا الموضوع يقول الدكتور صادقي: إن الخُمس يؤخذ فقط من الغنائم الحربية، أو أنه ليس سوى جزء من الزكاة، وأن موارد الزكاة [أي الأموال التي يجب تزكيتها] ليست محدودة [بالأجناس التسعة].</w:t>
      </w:r>
    </w:p>
  </w:footnote>
  <w:footnote w:id="36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يعتقد صادقي أن الفقهاء أفتوا في كثير من المسائل بفتاوى مخالفة لظاهر القرآن. وقد أورد فهرسًا لهذه الفتاوى في رسالة صغيرة عنوانها: «</w:t>
      </w:r>
      <w:r w:rsidRPr="006E28E9">
        <w:rPr>
          <w:rStyle w:val="FootnoteReference"/>
          <w:rFonts w:hint="cs"/>
          <w:b/>
          <w:bCs/>
          <w:vertAlign w:val="baseline"/>
          <w:rtl/>
        </w:rPr>
        <w:t>الفقهاء بين  الكتاب والسنة</w:t>
      </w:r>
      <w:r w:rsidRPr="006E28E9">
        <w:rPr>
          <w:rStyle w:val="FootnoteReference"/>
          <w:rFonts w:hint="cs"/>
          <w:vertAlign w:val="baseline"/>
          <w:rtl/>
        </w:rPr>
        <w:t>»</w:t>
      </w:r>
      <w:r w:rsidRPr="006E28E9">
        <w:rPr>
          <w:rFonts w:hint="cs"/>
          <w:rtl/>
        </w:rPr>
        <w:t xml:space="preserve"> </w:t>
      </w:r>
      <w:r w:rsidRPr="006E28E9">
        <w:rPr>
          <w:rStyle w:val="FootnoteReference"/>
          <w:rFonts w:hint="cs"/>
          <w:vertAlign w:val="baseline"/>
          <w:rtl/>
        </w:rPr>
        <w:t xml:space="preserve">(ألفها عام 1415 هـ.ق). وكتب صادقي في نقده لما ذكرته حول هذا الموضوع في متن الكتاب الحاضر (في الطبعة السادسة) يقول: </w:t>
      </w:r>
      <w:r w:rsidRPr="006E28E9">
        <w:rPr>
          <w:rFonts w:hint="cs"/>
          <w:rtl/>
          <w:lang w:bidi="ar-SY"/>
        </w:rPr>
        <w:t>«</w:t>
      </w:r>
      <w:r w:rsidRPr="006E28E9">
        <w:rPr>
          <w:rStyle w:val="FootnoteReference"/>
          <w:rFonts w:hint="cs"/>
          <w:vertAlign w:val="baseline"/>
          <w:rtl/>
        </w:rPr>
        <w:t>باعتقادي إن كثيرًا من الفقهاء أفتوا في عدد من الموارد بفتاوى لا تخالف ظواهر القرآن فحسب، بل تخالف نصوص القرآن وظواهر</w:t>
      </w:r>
      <w:r w:rsidRPr="006E28E9">
        <w:rPr>
          <w:rFonts w:hint="cs"/>
          <w:rtl/>
        </w:rPr>
        <w:t>ه</w:t>
      </w:r>
      <w:r w:rsidRPr="006E28E9">
        <w:rPr>
          <w:rStyle w:val="FootnoteReference"/>
          <w:rFonts w:hint="cs"/>
          <w:vertAlign w:val="baseline"/>
          <w:rtl/>
        </w:rPr>
        <w:t xml:space="preserve"> ا</w:t>
      </w:r>
      <w:r w:rsidRPr="006E28E9">
        <w:rPr>
          <w:rFonts w:hint="cs"/>
          <w:rtl/>
        </w:rPr>
        <w:t>لمؤكَّدة»</w:t>
      </w:r>
      <w:r w:rsidRPr="006E28E9">
        <w:rPr>
          <w:rStyle w:val="FootnoteReference"/>
          <w:rFonts w:hint="cs"/>
          <w:vertAlign w:val="baseline"/>
          <w:rtl/>
        </w:rPr>
        <w:t xml:space="preserve">. (انظروا: </w:t>
      </w:r>
      <w:r w:rsidRPr="008C7124">
        <w:rPr>
          <w:rStyle w:val="Char9"/>
          <w:rFonts w:hint="cs"/>
          <w:sz w:val="20"/>
          <w:szCs w:val="20"/>
          <w:rtl/>
        </w:rPr>
        <w:t>پاسخ به اتهامات م</w:t>
      </w:r>
      <w:r>
        <w:rPr>
          <w:rStyle w:val="Char9"/>
          <w:rFonts w:hint="cs"/>
          <w:sz w:val="20"/>
          <w:szCs w:val="20"/>
          <w:rtl/>
        </w:rPr>
        <w:t>ک</w:t>
      </w:r>
      <w:r w:rsidRPr="008C7124">
        <w:rPr>
          <w:rStyle w:val="Char9"/>
          <w:rFonts w:hint="cs"/>
          <w:sz w:val="20"/>
          <w:szCs w:val="20"/>
          <w:rtl/>
        </w:rPr>
        <w:t>توب</w:t>
      </w:r>
      <w:r w:rsidRPr="006E28E9">
        <w:rPr>
          <w:rStyle w:val="FootnoteReference"/>
          <w:rFonts w:hint="cs"/>
          <w:vertAlign w:val="baseline"/>
          <w:rtl/>
        </w:rPr>
        <w:t xml:space="preserve"> [رد على الاتهامات المكتوبة]، ص 6، البند 12).</w:t>
      </w:r>
    </w:p>
  </w:footnote>
  <w:footnote w:id="363">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درس تجربه</w:t>
      </w:r>
      <w:r w:rsidRPr="006E28E9">
        <w:rPr>
          <w:rStyle w:val="FootnoteReference"/>
          <w:rFonts w:hint="cs"/>
          <w:vertAlign w:val="baseline"/>
          <w:rtl/>
        </w:rPr>
        <w:t>، ص 115، و129 و130.</w:t>
      </w:r>
      <w:r w:rsidRPr="006E28E9">
        <w:rPr>
          <w:rFonts w:hint="cs"/>
          <w:rtl/>
        </w:rPr>
        <w:t xml:space="preserve"> </w:t>
      </w:r>
      <w:r w:rsidRPr="006E28E9">
        <w:rPr>
          <w:rStyle w:val="FootnoteReference"/>
          <w:rFonts w:hint="cs"/>
          <w:vertAlign w:val="baseline"/>
          <w:rtl/>
        </w:rPr>
        <w:t>كان حسن حبيبي من الناشطين في التيار الطلابي</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الديني في باريس ومن أصدقاء أبو الحسن بني صدر وصادق قطب زاده، وآخرين</w:t>
      </w:r>
      <w:r w:rsidRPr="006E28E9">
        <w:rPr>
          <w:rFonts w:hint="cs"/>
          <w:rtl/>
        </w:rPr>
        <w:t>.</w:t>
      </w:r>
      <w:r w:rsidRPr="006E28E9">
        <w:rPr>
          <w:rStyle w:val="FootnoteReference"/>
          <w:rFonts w:hint="cs"/>
          <w:vertAlign w:val="baseline"/>
          <w:rtl/>
        </w:rPr>
        <w:t xml:space="preserve"> كان يحمل شهادة دكتوراه في الحقوق وعلم الاجتماع، وكان يبحث بشكل متزامن في المسائل الحقوقية وعلم الاجتماعية والعلاقة بينهما. كانت أعماله، بشكل رئيسي، هي الترجمة.</w:t>
      </w:r>
      <w:r w:rsidRPr="006E28E9">
        <w:rPr>
          <w:rFonts w:hint="cs"/>
          <w:rtl/>
        </w:rPr>
        <w:t xml:space="preserve"> </w:t>
      </w:r>
      <w:r w:rsidRPr="006E28E9">
        <w:rPr>
          <w:rtl/>
        </w:rPr>
        <w:t>ترجم سنة 1351 هـ.ش</w:t>
      </w:r>
      <w:r w:rsidRPr="006E28E9">
        <w:rPr>
          <w:rFonts w:hint="cs"/>
          <w:rtl/>
        </w:rPr>
        <w:t xml:space="preserve"> [1972م]</w:t>
      </w:r>
      <w:r w:rsidRPr="006E28E9">
        <w:rPr>
          <w:rtl/>
        </w:rPr>
        <w:t xml:space="preserve"> كتاب «ديالكتيك أو الحركة الجدلية وعلم الاجتماع»، </w:t>
      </w:r>
      <w:r w:rsidRPr="006E28E9">
        <w:rPr>
          <w:rFonts w:hint="cs"/>
          <w:rtl/>
        </w:rPr>
        <w:t xml:space="preserve">حيث </w:t>
      </w:r>
      <w:r w:rsidRPr="006E28E9">
        <w:rPr>
          <w:rtl/>
        </w:rPr>
        <w:t xml:space="preserve">حلل هذا الكتاب مسألة الحركة الجدلية بمنهج غير ماركسي، واعُتبر لهذا السبب مفيداً لمعارضي الماركسية. </w:t>
      </w:r>
    </w:p>
    <w:p w:rsidR="008C7124" w:rsidRPr="006E28E9" w:rsidRDefault="008C7124" w:rsidP="007C1704">
      <w:pPr>
        <w:pStyle w:val="FootnoteText"/>
        <w:ind w:firstLine="0"/>
        <w:rPr>
          <w:rtl/>
        </w:rPr>
      </w:pPr>
      <w:r w:rsidRPr="006E28E9">
        <w:rPr>
          <w:rtl/>
        </w:rPr>
        <w:t xml:space="preserve">وترجم </w:t>
      </w:r>
      <w:r w:rsidRPr="006E28E9">
        <w:rPr>
          <w:rFonts w:hint="cs"/>
          <w:rtl/>
        </w:rPr>
        <w:t>في السنة</w:t>
      </w:r>
      <w:r w:rsidRPr="006E28E9">
        <w:rPr>
          <w:rtl/>
        </w:rPr>
        <w:t xml:space="preserve"> 1351</w:t>
      </w:r>
      <w:r w:rsidRPr="006E28E9">
        <w:rPr>
          <w:rFonts w:hint="cs"/>
          <w:rtl/>
        </w:rPr>
        <w:t xml:space="preserve"> </w:t>
      </w:r>
      <w:r w:rsidRPr="006E28E9">
        <w:rPr>
          <w:rFonts w:hint="cs"/>
          <w:rtl/>
          <w:lang w:bidi="ar-SY"/>
        </w:rPr>
        <w:t xml:space="preserve">هـ.ش </w:t>
      </w:r>
      <w:r w:rsidRPr="006E28E9">
        <w:rPr>
          <w:rFonts w:hint="cs"/>
          <w:rtl/>
        </w:rPr>
        <w:t>ذاتها</w:t>
      </w:r>
      <w:r w:rsidRPr="006E28E9">
        <w:rPr>
          <w:rtl/>
        </w:rPr>
        <w:t xml:space="preserve"> كتاب «</w:t>
      </w:r>
      <w:r w:rsidRPr="006E28E9">
        <w:rPr>
          <w:b/>
          <w:bCs/>
          <w:rtl/>
        </w:rPr>
        <w:t>أفضل الجهاد</w:t>
      </w:r>
      <w:r w:rsidRPr="006E28E9">
        <w:rPr>
          <w:rtl/>
        </w:rPr>
        <w:t>» وقام بطباعته ونشره (يقول السيد عزت الله سحابي أنه</w:t>
      </w:r>
      <w:r w:rsidRPr="006E28E9">
        <w:rPr>
          <w:rFonts w:hint="cs"/>
          <w:rtl/>
        </w:rPr>
        <w:t xml:space="preserve"> هو -أي سحابي -</w:t>
      </w:r>
      <w:r w:rsidRPr="006E28E9">
        <w:rPr>
          <w:rtl/>
        </w:rPr>
        <w:t xml:space="preserve"> </w:t>
      </w:r>
      <w:r w:rsidRPr="006E28E9">
        <w:rPr>
          <w:rFonts w:hint="cs"/>
          <w:rtl/>
        </w:rPr>
        <w:t xml:space="preserve">الذي </w:t>
      </w:r>
      <w:r w:rsidRPr="006E28E9">
        <w:rPr>
          <w:rtl/>
        </w:rPr>
        <w:t>قام بترجمته هذا الكتاب لما كان في سجن ب</w:t>
      </w:r>
      <w:r w:rsidRPr="006E28E9">
        <w:rPr>
          <w:rFonts w:hint="cs"/>
          <w:rtl/>
        </w:rPr>
        <w:t>ر</w:t>
      </w:r>
      <w:r w:rsidRPr="006E28E9">
        <w:rPr>
          <w:rtl/>
        </w:rPr>
        <w:t>ا</w:t>
      </w:r>
      <w:r w:rsidRPr="006E28E9">
        <w:rPr>
          <w:rFonts w:hint="cs"/>
          <w:rtl/>
        </w:rPr>
        <w:t>ز</w:t>
      </w:r>
      <w:r w:rsidRPr="006E28E9">
        <w:rPr>
          <w:rtl/>
        </w:rPr>
        <w:t>جان سنة 1344 هـ.ش</w:t>
      </w:r>
      <w:r w:rsidRPr="006E28E9">
        <w:rPr>
          <w:rFonts w:hint="cs"/>
          <w:rtl/>
        </w:rPr>
        <w:t xml:space="preserve"> [1965م]</w:t>
      </w:r>
      <w:r w:rsidRPr="006E28E9">
        <w:rPr>
          <w:rtl/>
        </w:rPr>
        <w:t xml:space="preserve"> </w:t>
      </w:r>
      <w:r w:rsidRPr="006E28E9">
        <w:rPr>
          <w:rFonts w:ascii="Times New Roman" w:hAnsi="Times New Roman" w:cs="Times New Roman" w:hint="cs"/>
          <w:rtl/>
        </w:rPr>
        <w:t>–</w:t>
      </w:r>
      <w:r w:rsidRPr="006E28E9">
        <w:rPr>
          <w:rtl/>
        </w:rPr>
        <w:t xml:space="preserve"> </w:t>
      </w:r>
      <w:r w:rsidRPr="006E28E9">
        <w:rPr>
          <w:rFonts w:hint="cs"/>
          <w:rtl/>
        </w:rPr>
        <w:t>وساعده</w:t>
      </w:r>
      <w:r w:rsidRPr="006E28E9">
        <w:rPr>
          <w:rtl/>
        </w:rPr>
        <w:t xml:space="preserve"> </w:t>
      </w:r>
      <w:r w:rsidRPr="006E28E9">
        <w:rPr>
          <w:rFonts w:hint="cs"/>
          <w:rtl/>
        </w:rPr>
        <w:t>في</w:t>
      </w:r>
      <w:r w:rsidRPr="006E28E9">
        <w:rPr>
          <w:rtl/>
        </w:rPr>
        <w:t xml:space="preserve"> </w:t>
      </w:r>
      <w:r w:rsidRPr="006E28E9">
        <w:rPr>
          <w:rFonts w:hint="cs"/>
          <w:rtl/>
        </w:rPr>
        <w:t>ترجمة</w:t>
      </w:r>
      <w:r w:rsidRPr="006E28E9">
        <w:rPr>
          <w:rtl/>
        </w:rPr>
        <w:t xml:space="preserve"> </w:t>
      </w:r>
      <w:r w:rsidRPr="006E28E9">
        <w:rPr>
          <w:rFonts w:hint="cs"/>
          <w:rtl/>
        </w:rPr>
        <w:t>جزءٍ</w:t>
      </w:r>
      <w:r w:rsidRPr="006E28E9">
        <w:rPr>
          <w:rtl/>
        </w:rPr>
        <w:t xml:space="preserve"> </w:t>
      </w:r>
      <w:r w:rsidRPr="006E28E9">
        <w:rPr>
          <w:rFonts w:hint="cs"/>
          <w:rtl/>
        </w:rPr>
        <w:t>منه</w:t>
      </w:r>
      <w:r w:rsidRPr="006E28E9">
        <w:rPr>
          <w:rtl/>
        </w:rPr>
        <w:t xml:space="preserve"> </w:t>
      </w:r>
      <w:r w:rsidRPr="006E28E9">
        <w:rPr>
          <w:rFonts w:hint="cs"/>
          <w:rtl/>
        </w:rPr>
        <w:t>السيد</w:t>
      </w:r>
      <w:r w:rsidRPr="006E28E9">
        <w:rPr>
          <w:rtl/>
        </w:rPr>
        <w:t xml:space="preserve"> </w:t>
      </w:r>
      <w:r w:rsidRPr="006E28E9">
        <w:rPr>
          <w:rFonts w:hint="cs"/>
          <w:rtl/>
        </w:rPr>
        <w:t>شيباني</w:t>
      </w:r>
      <w:r w:rsidRPr="006E28E9">
        <w:rPr>
          <w:rtl/>
        </w:rPr>
        <w:t xml:space="preserve">- </w:t>
      </w:r>
      <w:r w:rsidRPr="006E28E9">
        <w:rPr>
          <w:rFonts w:hint="cs"/>
          <w:rtl/>
        </w:rPr>
        <w:t>وأرسله</w:t>
      </w:r>
      <w:r w:rsidRPr="006E28E9">
        <w:rPr>
          <w:rtl/>
        </w:rPr>
        <w:t xml:space="preserve"> </w:t>
      </w:r>
      <w:r w:rsidRPr="006E28E9">
        <w:rPr>
          <w:rFonts w:hint="cs"/>
          <w:rtl/>
        </w:rPr>
        <w:t>إلى</w:t>
      </w:r>
      <w:r w:rsidRPr="006E28E9">
        <w:rPr>
          <w:rtl/>
        </w:rPr>
        <w:t xml:space="preserve"> </w:t>
      </w:r>
      <w:r w:rsidRPr="006E28E9">
        <w:rPr>
          <w:rFonts w:hint="cs"/>
          <w:rtl/>
        </w:rPr>
        <w:t>خارج</w:t>
      </w:r>
      <w:r w:rsidRPr="006E28E9">
        <w:rPr>
          <w:rtl/>
        </w:rPr>
        <w:t xml:space="preserve"> </w:t>
      </w:r>
      <w:r w:rsidRPr="006E28E9">
        <w:rPr>
          <w:rFonts w:hint="cs"/>
          <w:rtl/>
        </w:rPr>
        <w:t>السجن</w:t>
      </w:r>
      <w:r w:rsidRPr="006E28E9">
        <w:rPr>
          <w:rtl/>
        </w:rPr>
        <w:t xml:space="preserve"> </w:t>
      </w:r>
      <w:r w:rsidRPr="006E28E9">
        <w:rPr>
          <w:rFonts w:hint="cs"/>
          <w:rtl/>
        </w:rPr>
        <w:t>فقام</w:t>
      </w:r>
      <w:r w:rsidRPr="006E28E9">
        <w:rPr>
          <w:rtl/>
        </w:rPr>
        <w:t xml:space="preserve"> </w:t>
      </w:r>
      <w:r w:rsidRPr="006E28E9">
        <w:rPr>
          <w:rFonts w:hint="cs"/>
          <w:rtl/>
        </w:rPr>
        <w:t>السيد</w:t>
      </w:r>
      <w:r w:rsidRPr="006E28E9">
        <w:rPr>
          <w:rtl/>
        </w:rPr>
        <w:t xml:space="preserve"> </w:t>
      </w:r>
      <w:r w:rsidRPr="006E28E9">
        <w:rPr>
          <w:rFonts w:hint="cs"/>
          <w:rtl/>
        </w:rPr>
        <w:t>حسن</w:t>
      </w:r>
      <w:r w:rsidRPr="006E28E9">
        <w:rPr>
          <w:rtl/>
        </w:rPr>
        <w:t xml:space="preserve"> </w:t>
      </w:r>
      <w:r w:rsidRPr="006E28E9">
        <w:rPr>
          <w:rFonts w:hint="cs"/>
          <w:rtl/>
        </w:rPr>
        <w:t>حبيبي</w:t>
      </w:r>
      <w:r w:rsidRPr="006E28E9">
        <w:rPr>
          <w:rtl/>
        </w:rPr>
        <w:t xml:space="preserve"> </w:t>
      </w:r>
      <w:r w:rsidRPr="006E28E9">
        <w:rPr>
          <w:rFonts w:hint="cs"/>
          <w:rtl/>
        </w:rPr>
        <w:t>بعد</w:t>
      </w:r>
      <w:r w:rsidRPr="006E28E9">
        <w:rPr>
          <w:rtl/>
        </w:rPr>
        <w:t xml:space="preserve"> </w:t>
      </w:r>
      <w:r w:rsidRPr="006E28E9">
        <w:rPr>
          <w:rFonts w:hint="cs"/>
          <w:rtl/>
        </w:rPr>
        <w:t>ذلك</w:t>
      </w:r>
      <w:r w:rsidRPr="006E28E9">
        <w:rPr>
          <w:rtl/>
        </w:rPr>
        <w:t xml:space="preserve"> </w:t>
      </w:r>
      <w:r w:rsidRPr="006E28E9">
        <w:rPr>
          <w:rFonts w:hint="cs"/>
          <w:rtl/>
        </w:rPr>
        <w:t>بتنقيح</w:t>
      </w:r>
      <w:r w:rsidRPr="006E28E9">
        <w:rPr>
          <w:rtl/>
        </w:rPr>
        <w:t xml:space="preserve"> </w:t>
      </w:r>
      <w:r w:rsidRPr="006E28E9">
        <w:rPr>
          <w:rFonts w:hint="cs"/>
          <w:rtl/>
        </w:rPr>
        <w:t>تلك</w:t>
      </w:r>
      <w:r w:rsidRPr="006E28E9">
        <w:rPr>
          <w:rtl/>
        </w:rPr>
        <w:t xml:space="preserve"> </w:t>
      </w:r>
      <w:r w:rsidRPr="006E28E9">
        <w:rPr>
          <w:rFonts w:hint="cs"/>
          <w:rtl/>
        </w:rPr>
        <w:t>الترجمة</w:t>
      </w:r>
      <w:r w:rsidRPr="006E28E9">
        <w:rPr>
          <w:rtl/>
        </w:rPr>
        <w:t xml:space="preserve"> </w:t>
      </w:r>
      <w:r w:rsidRPr="006E28E9">
        <w:rPr>
          <w:rFonts w:hint="cs"/>
          <w:rtl/>
        </w:rPr>
        <w:t>وتصحيحها</w:t>
      </w:r>
      <w:r w:rsidRPr="006E28E9">
        <w:rPr>
          <w:rtl/>
        </w:rPr>
        <w:t xml:space="preserve"> </w:t>
      </w:r>
      <w:r w:rsidRPr="006E28E9">
        <w:rPr>
          <w:rFonts w:hint="cs"/>
          <w:rtl/>
        </w:rPr>
        <w:t>وطبعها</w:t>
      </w:r>
      <w:r w:rsidRPr="006E28E9">
        <w:rPr>
          <w:rtl/>
        </w:rPr>
        <w:t xml:space="preserve"> </w:t>
      </w:r>
      <w:r w:rsidRPr="006E28E9">
        <w:rPr>
          <w:rFonts w:hint="cs"/>
          <w:rtl/>
        </w:rPr>
        <w:t>في</w:t>
      </w:r>
      <w:r w:rsidRPr="006E28E9">
        <w:rPr>
          <w:rtl/>
        </w:rPr>
        <w:t xml:space="preserve"> </w:t>
      </w:r>
      <w:r w:rsidRPr="006E28E9">
        <w:rPr>
          <w:rFonts w:hint="cs"/>
          <w:rtl/>
        </w:rPr>
        <w:t>فرنسا، يُنْظَر:</w:t>
      </w:r>
      <w:r w:rsidRPr="006E28E9">
        <w:rPr>
          <w:rtl/>
        </w:rPr>
        <w:t xml:space="preserve"> </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م</w:t>
      </w:r>
      <w:r w:rsidRPr="008C7124">
        <w:rPr>
          <w:rStyle w:val="Char9"/>
          <w:sz w:val="20"/>
          <w:szCs w:val="20"/>
          <w:rtl/>
        </w:rPr>
        <w:t xml:space="preserve"> </w:t>
      </w:r>
      <w:r w:rsidRPr="008C7124">
        <w:rPr>
          <w:rStyle w:val="Char9"/>
          <w:rFonts w:hint="cs"/>
          <w:sz w:val="20"/>
          <w:szCs w:val="20"/>
          <w:rtl/>
        </w:rPr>
        <w:t>قرن</w:t>
      </w:r>
      <w:r w:rsidRPr="008C7124">
        <w:rPr>
          <w:rStyle w:val="Char9"/>
          <w:sz w:val="20"/>
          <w:szCs w:val="20"/>
          <w:rtl/>
        </w:rPr>
        <w:t xml:space="preserve"> </w:t>
      </w:r>
      <w:r w:rsidRPr="008C7124">
        <w:rPr>
          <w:rStyle w:val="Char9"/>
          <w:rFonts w:hint="cs"/>
          <w:sz w:val="20"/>
          <w:szCs w:val="20"/>
          <w:rtl/>
        </w:rPr>
        <w:t>خاطره</w:t>
      </w:r>
      <w:r w:rsidRPr="008C7124">
        <w:rPr>
          <w:rStyle w:val="Char9"/>
          <w:sz w:val="20"/>
          <w:szCs w:val="20"/>
          <w:rtl/>
        </w:rPr>
        <w:t xml:space="preserve"> </w:t>
      </w:r>
      <w:r w:rsidRPr="008C7124">
        <w:rPr>
          <w:rStyle w:val="Char9"/>
          <w:rFonts w:hint="cs"/>
          <w:sz w:val="20"/>
          <w:szCs w:val="20"/>
          <w:rtl/>
        </w:rPr>
        <w:t>وتجربه</w:t>
      </w:r>
      <w:r w:rsidRPr="006E28E9">
        <w:rPr>
          <w:rtl/>
        </w:rPr>
        <w:t xml:space="preserve"> [</w:t>
      </w:r>
      <w:r w:rsidRPr="006E28E9">
        <w:rPr>
          <w:rFonts w:hint="cs"/>
          <w:rtl/>
        </w:rPr>
        <w:t>نصف</w:t>
      </w:r>
      <w:r w:rsidRPr="006E28E9">
        <w:rPr>
          <w:rtl/>
        </w:rPr>
        <w:t xml:space="preserve"> </w:t>
      </w:r>
      <w:r w:rsidRPr="006E28E9">
        <w:rPr>
          <w:rFonts w:hint="cs"/>
          <w:rtl/>
        </w:rPr>
        <w:t>قرن</w:t>
      </w:r>
      <w:r w:rsidRPr="006E28E9">
        <w:rPr>
          <w:rtl/>
        </w:rPr>
        <w:t xml:space="preserve"> </w:t>
      </w:r>
      <w:r w:rsidRPr="006E28E9">
        <w:rPr>
          <w:rFonts w:hint="cs"/>
          <w:rtl/>
        </w:rPr>
        <w:t>من</w:t>
      </w:r>
      <w:r w:rsidRPr="006E28E9">
        <w:rPr>
          <w:rtl/>
        </w:rPr>
        <w:t xml:space="preserve"> </w:t>
      </w:r>
      <w:r w:rsidRPr="006E28E9">
        <w:rPr>
          <w:rFonts w:hint="cs"/>
          <w:rtl/>
        </w:rPr>
        <w:t>الذكريات</w:t>
      </w:r>
      <w:r w:rsidRPr="006E28E9">
        <w:rPr>
          <w:rtl/>
        </w:rPr>
        <w:t xml:space="preserve"> </w:t>
      </w:r>
      <w:r w:rsidRPr="006E28E9">
        <w:rPr>
          <w:rFonts w:hint="cs"/>
          <w:rtl/>
        </w:rPr>
        <w:t>و</w:t>
      </w:r>
      <w:r w:rsidRPr="006E28E9">
        <w:rPr>
          <w:rtl/>
        </w:rPr>
        <w:t xml:space="preserve"> </w:t>
      </w:r>
      <w:r w:rsidRPr="006E28E9">
        <w:rPr>
          <w:rFonts w:hint="cs"/>
          <w:rtl/>
        </w:rPr>
        <w:t>التجارب</w:t>
      </w:r>
      <w:r w:rsidRPr="006E28E9">
        <w:rPr>
          <w:rtl/>
        </w:rPr>
        <w:t>]</w:t>
      </w:r>
      <w:r w:rsidRPr="006E28E9">
        <w:rPr>
          <w:rFonts w:hint="cs"/>
          <w:rtl/>
        </w:rPr>
        <w:t>،</w:t>
      </w:r>
      <w:r w:rsidRPr="006E28E9">
        <w:rPr>
          <w:rtl/>
        </w:rPr>
        <w:t xml:space="preserve"> </w:t>
      </w:r>
      <w:r w:rsidRPr="006E28E9">
        <w:rPr>
          <w:rFonts w:hint="cs"/>
          <w:rtl/>
        </w:rPr>
        <w:t>ج</w:t>
      </w:r>
      <w:r w:rsidRPr="006E28E9">
        <w:rPr>
          <w:rtl/>
        </w:rPr>
        <w:t xml:space="preserve"> 1</w:t>
      </w:r>
      <w:r w:rsidRPr="006E28E9">
        <w:rPr>
          <w:rFonts w:hint="cs"/>
          <w:rtl/>
        </w:rPr>
        <w:t>،</w:t>
      </w:r>
      <w:r w:rsidRPr="006E28E9">
        <w:rPr>
          <w:rtl/>
        </w:rPr>
        <w:t xml:space="preserve"> </w:t>
      </w:r>
      <w:r w:rsidRPr="006E28E9">
        <w:rPr>
          <w:rFonts w:hint="cs"/>
          <w:rtl/>
        </w:rPr>
        <w:t>ص</w:t>
      </w:r>
      <w:r w:rsidRPr="006E28E9">
        <w:rPr>
          <w:rtl/>
        </w:rPr>
        <w:t xml:space="preserve"> 286)، كان مؤلف ذلك الكتاب </w:t>
      </w:r>
      <w:r w:rsidRPr="006E28E9">
        <w:rPr>
          <w:rFonts w:ascii="Times New Roman" w:hAnsi="Times New Roman" w:cs="Times New Roman" w:hint="cs"/>
          <w:rtl/>
        </w:rPr>
        <w:t>–</w:t>
      </w:r>
      <w:r w:rsidRPr="006E28E9">
        <w:rPr>
          <w:rtl/>
        </w:rPr>
        <w:t xml:space="preserve"> </w:t>
      </w:r>
      <w:r w:rsidRPr="006E28E9">
        <w:rPr>
          <w:rFonts w:hint="cs"/>
          <w:rtl/>
        </w:rPr>
        <w:t>أي</w:t>
      </w:r>
      <w:r w:rsidRPr="006E28E9">
        <w:rPr>
          <w:rtl/>
        </w:rPr>
        <w:t xml:space="preserve"> </w:t>
      </w:r>
      <w:r w:rsidRPr="006E28E9">
        <w:rPr>
          <w:rFonts w:hint="cs"/>
          <w:b/>
          <w:bCs/>
          <w:rtl/>
        </w:rPr>
        <w:t>أفضل</w:t>
      </w:r>
      <w:r w:rsidRPr="006E28E9">
        <w:rPr>
          <w:b/>
          <w:bCs/>
          <w:rtl/>
        </w:rPr>
        <w:t xml:space="preserve"> </w:t>
      </w:r>
      <w:r w:rsidRPr="006E28E9">
        <w:rPr>
          <w:rFonts w:hint="cs"/>
          <w:b/>
          <w:bCs/>
          <w:rtl/>
        </w:rPr>
        <w:t>الجهاد</w:t>
      </w:r>
      <w:r w:rsidRPr="006E28E9">
        <w:rPr>
          <w:b/>
          <w:bCs/>
          <w:rtl/>
        </w:rPr>
        <w:t xml:space="preserve"> </w:t>
      </w:r>
      <w:r w:rsidRPr="006E28E9">
        <w:rPr>
          <w:rFonts w:ascii="Times New Roman" w:hAnsi="Times New Roman" w:cs="Times New Roman" w:hint="cs"/>
          <w:rtl/>
        </w:rPr>
        <w:t>–</w:t>
      </w:r>
      <w:r w:rsidRPr="006E28E9">
        <w:rPr>
          <w:rtl/>
        </w:rPr>
        <w:t xml:space="preserve"> </w:t>
      </w:r>
      <w:r w:rsidRPr="006E28E9">
        <w:rPr>
          <w:rFonts w:hint="cs"/>
          <w:rtl/>
        </w:rPr>
        <w:t>عمار</w:t>
      </w:r>
      <w:r w:rsidRPr="006E28E9">
        <w:rPr>
          <w:rtl/>
        </w:rPr>
        <w:t xml:space="preserve"> </w:t>
      </w:r>
      <w:r w:rsidRPr="006E28E9">
        <w:rPr>
          <w:rFonts w:hint="cs"/>
          <w:rtl/>
        </w:rPr>
        <w:t>اوزگان</w:t>
      </w:r>
      <w:r w:rsidRPr="006E28E9">
        <w:rPr>
          <w:rtl/>
        </w:rPr>
        <w:t xml:space="preserve"> </w:t>
      </w:r>
      <w:r w:rsidRPr="006E28E9">
        <w:rPr>
          <w:rFonts w:hint="cs"/>
          <w:rtl/>
        </w:rPr>
        <w:t>ونقد</w:t>
      </w:r>
      <w:r w:rsidRPr="006E28E9">
        <w:rPr>
          <w:rtl/>
        </w:rPr>
        <w:t xml:space="preserve"> </w:t>
      </w:r>
      <w:r w:rsidRPr="006E28E9">
        <w:rPr>
          <w:rFonts w:hint="cs"/>
          <w:rtl/>
        </w:rPr>
        <w:t>فيه</w:t>
      </w:r>
      <w:r w:rsidRPr="006E28E9">
        <w:rPr>
          <w:rtl/>
        </w:rPr>
        <w:t xml:space="preserve"> </w:t>
      </w:r>
      <w:r w:rsidRPr="006E28E9">
        <w:rPr>
          <w:rFonts w:hint="cs"/>
          <w:rtl/>
        </w:rPr>
        <w:t>منهج</w:t>
      </w:r>
      <w:r w:rsidRPr="006E28E9">
        <w:rPr>
          <w:rtl/>
        </w:rPr>
        <w:t xml:space="preserve"> </w:t>
      </w:r>
      <w:r w:rsidRPr="006E28E9">
        <w:rPr>
          <w:rFonts w:hint="cs"/>
          <w:rtl/>
        </w:rPr>
        <w:t>الشيوعيين</w:t>
      </w:r>
      <w:r w:rsidRPr="006E28E9">
        <w:rPr>
          <w:rtl/>
        </w:rPr>
        <w:t xml:space="preserve"> </w:t>
      </w:r>
      <w:r w:rsidRPr="006E28E9">
        <w:rPr>
          <w:rFonts w:hint="cs"/>
          <w:rtl/>
        </w:rPr>
        <w:t>وأسلوبهم</w:t>
      </w:r>
      <w:r w:rsidRPr="006E28E9">
        <w:rPr>
          <w:rtl/>
        </w:rPr>
        <w:t xml:space="preserve"> </w:t>
      </w:r>
      <w:r w:rsidRPr="006E28E9">
        <w:rPr>
          <w:rFonts w:hint="cs"/>
          <w:rtl/>
        </w:rPr>
        <w:t>تجاه</w:t>
      </w:r>
      <w:r w:rsidRPr="006E28E9">
        <w:rPr>
          <w:rtl/>
        </w:rPr>
        <w:t xml:space="preserve"> </w:t>
      </w:r>
      <w:r w:rsidRPr="006E28E9">
        <w:rPr>
          <w:rFonts w:hint="cs"/>
          <w:rtl/>
        </w:rPr>
        <w:t>الثورة</w:t>
      </w:r>
      <w:r w:rsidRPr="006E28E9">
        <w:rPr>
          <w:rtl/>
        </w:rPr>
        <w:t xml:space="preserve"> </w:t>
      </w:r>
      <w:r w:rsidRPr="006E28E9">
        <w:rPr>
          <w:rFonts w:hint="cs"/>
          <w:rtl/>
        </w:rPr>
        <w:t>الجزائرية،</w:t>
      </w:r>
      <w:r w:rsidRPr="006E28E9">
        <w:rPr>
          <w:rtl/>
        </w:rPr>
        <w:t xml:space="preserve"> </w:t>
      </w:r>
      <w:r w:rsidRPr="006E28E9">
        <w:rPr>
          <w:rFonts w:hint="cs"/>
          <w:rtl/>
        </w:rPr>
        <w:t>الذين</w:t>
      </w:r>
      <w:r w:rsidRPr="006E28E9">
        <w:rPr>
          <w:rtl/>
        </w:rPr>
        <w:t xml:space="preserve"> </w:t>
      </w:r>
      <w:r w:rsidRPr="006E28E9">
        <w:rPr>
          <w:rFonts w:hint="cs"/>
          <w:rtl/>
        </w:rPr>
        <w:t>كانوا</w:t>
      </w:r>
      <w:r w:rsidRPr="006E28E9">
        <w:rPr>
          <w:rtl/>
        </w:rPr>
        <w:t xml:space="preserve"> </w:t>
      </w:r>
      <w:r w:rsidRPr="006E28E9">
        <w:rPr>
          <w:rFonts w:hint="cs"/>
          <w:rtl/>
        </w:rPr>
        <w:t>متشككين</w:t>
      </w:r>
      <w:r w:rsidRPr="006E28E9">
        <w:rPr>
          <w:rtl/>
        </w:rPr>
        <w:t xml:space="preserve"> </w:t>
      </w:r>
      <w:r w:rsidRPr="006E28E9">
        <w:rPr>
          <w:rFonts w:hint="cs"/>
          <w:rtl/>
        </w:rPr>
        <w:t>ومترددين</w:t>
      </w:r>
      <w:r w:rsidRPr="006E28E9">
        <w:rPr>
          <w:rtl/>
        </w:rPr>
        <w:t xml:space="preserve"> </w:t>
      </w:r>
      <w:r w:rsidRPr="006E28E9">
        <w:rPr>
          <w:rFonts w:hint="cs"/>
          <w:rtl/>
        </w:rPr>
        <w:t>بتلك</w:t>
      </w:r>
      <w:r w:rsidRPr="006E28E9">
        <w:rPr>
          <w:rtl/>
        </w:rPr>
        <w:t xml:space="preserve"> </w:t>
      </w:r>
      <w:r w:rsidRPr="006E28E9">
        <w:rPr>
          <w:rFonts w:hint="cs"/>
          <w:rtl/>
        </w:rPr>
        <w:t>الثورة</w:t>
      </w:r>
      <w:r w:rsidRPr="006E28E9">
        <w:rPr>
          <w:rtl/>
        </w:rPr>
        <w:t>.</w:t>
      </w:r>
      <w:r w:rsidRPr="006E28E9">
        <w:rPr>
          <w:rFonts w:hint="cs"/>
          <w:rtl/>
        </w:rPr>
        <w:t xml:space="preserve"> </w:t>
      </w:r>
      <w:r w:rsidRPr="006E28E9">
        <w:rPr>
          <w:rtl/>
        </w:rPr>
        <w:t>ومن الملفت للنظر أن الثورة الجزائرية كانت أول ثورة غير ماركسية في عصر كانت الثورات فيه منحصرة بالماركسية فقط</w:t>
      </w:r>
      <w:r w:rsidRPr="006E28E9">
        <w:rPr>
          <w:rFonts w:hint="cs"/>
          <w:rtl/>
        </w:rPr>
        <w:t>.</w:t>
      </w:r>
    </w:p>
    <w:p w:rsidR="008C7124" w:rsidRPr="006E28E9" w:rsidRDefault="008C7124" w:rsidP="007C1704">
      <w:pPr>
        <w:pStyle w:val="FootnoteText"/>
        <w:ind w:firstLine="0"/>
        <w:rPr>
          <w:rtl/>
        </w:rPr>
      </w:pPr>
      <w:r w:rsidRPr="006E28E9">
        <w:rPr>
          <w:rFonts w:hint="cs"/>
          <w:rtl/>
        </w:rPr>
        <w:t xml:space="preserve">وفي </w:t>
      </w:r>
      <w:r w:rsidRPr="006E28E9">
        <w:rPr>
          <w:rtl/>
        </w:rPr>
        <w:t xml:space="preserve">سنة 1357 هـ.ش </w:t>
      </w:r>
      <w:r w:rsidRPr="006E28E9">
        <w:rPr>
          <w:rFonts w:hint="cs"/>
          <w:rtl/>
        </w:rPr>
        <w:t xml:space="preserve">[1978م] </w:t>
      </w:r>
      <w:r w:rsidRPr="006E28E9">
        <w:rPr>
          <w:rtl/>
        </w:rPr>
        <w:t xml:space="preserve">ترجم </w:t>
      </w:r>
      <w:r w:rsidRPr="006E28E9">
        <w:rPr>
          <w:rFonts w:hint="cs"/>
          <w:rtl/>
        </w:rPr>
        <w:t>حسن حبيبي ونشر</w:t>
      </w:r>
      <w:r w:rsidRPr="006E28E9">
        <w:rPr>
          <w:rtl/>
        </w:rPr>
        <w:t xml:space="preserve"> كتاب «</w:t>
      </w:r>
      <w:r w:rsidRPr="008C7124">
        <w:rPr>
          <w:rStyle w:val="Char9"/>
          <w:sz w:val="20"/>
          <w:szCs w:val="20"/>
          <w:rtl/>
        </w:rPr>
        <w:t>عهد</w:t>
      </w:r>
      <w:r>
        <w:rPr>
          <w:rStyle w:val="Char9"/>
          <w:sz w:val="20"/>
          <w:szCs w:val="20"/>
          <w:rtl/>
        </w:rPr>
        <w:t>ی</w:t>
      </w:r>
      <w:r w:rsidRPr="008C7124">
        <w:rPr>
          <w:rStyle w:val="Char9"/>
          <w:sz w:val="20"/>
          <w:szCs w:val="20"/>
          <w:rtl/>
        </w:rPr>
        <w:t>ن، علم وقرآن</w:t>
      </w:r>
      <w:r w:rsidRPr="006E28E9">
        <w:rPr>
          <w:rtl/>
        </w:rPr>
        <w:t>» [القرآن والتوراة والإنجيل والعِلم]، الذي ألفه الطبيب الجراح الفرنسي موريس بوكاي ونشره في فرنسا وأحدث نشره ضجة كبيرة، كما ترجم في السنة ذاتها كتاب «</w:t>
      </w:r>
      <w:r w:rsidRPr="008C7124">
        <w:rPr>
          <w:rStyle w:val="Char9"/>
          <w:rFonts w:hint="cs"/>
          <w:sz w:val="20"/>
          <w:szCs w:val="20"/>
          <w:rtl/>
        </w:rPr>
        <w:t>ا</w:t>
      </w:r>
      <w:r w:rsidRPr="008C7124">
        <w:rPr>
          <w:rStyle w:val="Char9"/>
          <w:sz w:val="20"/>
          <w:szCs w:val="20"/>
          <w:rtl/>
        </w:rPr>
        <w:t>سلام ومسلمانان روس</w:t>
      </w:r>
      <w:r>
        <w:rPr>
          <w:rStyle w:val="Char9"/>
          <w:sz w:val="20"/>
          <w:szCs w:val="20"/>
          <w:rtl/>
        </w:rPr>
        <w:t>ی</w:t>
      </w:r>
      <w:r w:rsidRPr="008C7124">
        <w:rPr>
          <w:rStyle w:val="Char9"/>
          <w:rFonts w:hint="cs"/>
          <w:sz w:val="20"/>
          <w:szCs w:val="20"/>
          <w:rtl/>
        </w:rPr>
        <w:t>ه</w:t>
      </w:r>
      <w:r w:rsidRPr="006E28E9">
        <w:rPr>
          <w:rtl/>
        </w:rPr>
        <w:t xml:space="preserve">» [الإسلام والمسلمون في روسيا]، </w:t>
      </w:r>
      <w:r w:rsidRPr="006E28E9">
        <w:rPr>
          <w:rFonts w:hint="cs"/>
          <w:rtl/>
        </w:rPr>
        <w:t>و</w:t>
      </w:r>
      <w:r w:rsidRPr="006E28E9">
        <w:rPr>
          <w:rtl/>
        </w:rPr>
        <w:t xml:space="preserve">كان الكتاب ترجمة لفصلين </w:t>
      </w:r>
      <w:r w:rsidRPr="006E28E9">
        <w:rPr>
          <w:rFonts w:hint="cs"/>
          <w:rtl/>
        </w:rPr>
        <w:t xml:space="preserve">من </w:t>
      </w:r>
      <w:r w:rsidRPr="006E28E9">
        <w:rPr>
          <w:rtl/>
        </w:rPr>
        <w:t>كتاب ألفه كاردانكس عن روسيا عنوانه</w:t>
      </w:r>
      <w:r w:rsidRPr="006E28E9">
        <w:rPr>
          <w:rFonts w:hint="cs"/>
          <w:rtl/>
        </w:rPr>
        <w:t xml:space="preserve">: </w:t>
      </w:r>
      <w:r w:rsidRPr="006E28E9">
        <w:rPr>
          <w:rFonts w:hint="cs"/>
          <w:b/>
          <w:bCs/>
          <w:rtl/>
        </w:rPr>
        <w:t>الإمبراطورية</w:t>
      </w:r>
      <w:r w:rsidRPr="006E28E9">
        <w:rPr>
          <w:b/>
          <w:bCs/>
          <w:rtl/>
        </w:rPr>
        <w:t xml:space="preserve"> الزائلة</w:t>
      </w:r>
      <w:r w:rsidRPr="006E28E9">
        <w:rPr>
          <w:rtl/>
        </w:rPr>
        <w:t xml:space="preserve"> وتنبأ فيه بزوال </w:t>
      </w:r>
      <w:r w:rsidRPr="006E28E9">
        <w:rPr>
          <w:rFonts w:hint="cs"/>
          <w:rtl/>
        </w:rPr>
        <w:t>إمبراطورية</w:t>
      </w:r>
      <w:r w:rsidRPr="006E28E9">
        <w:rPr>
          <w:rtl/>
        </w:rPr>
        <w:t xml:space="preserve"> الاتحاد السوفييتي</w:t>
      </w:r>
      <w:r w:rsidRPr="006E28E9">
        <w:rPr>
          <w:rFonts w:hint="cs"/>
          <w:rtl/>
        </w:rPr>
        <w:t>.</w:t>
      </w:r>
      <w:r w:rsidRPr="006E28E9">
        <w:rPr>
          <w:rtl/>
        </w:rPr>
        <w:t xml:space="preserve"> كما قام حسن حبيبي بترجمة مجموعة «</w:t>
      </w:r>
      <w:r w:rsidRPr="006E28E9">
        <w:rPr>
          <w:b/>
          <w:bCs/>
          <w:rtl/>
        </w:rPr>
        <w:t>الكرامة</w:t>
      </w:r>
      <w:r w:rsidRPr="006E28E9">
        <w:rPr>
          <w:rtl/>
        </w:rPr>
        <w:t>» التي تشتمل خمسة كتب حول الحركة الفلسطينية</w:t>
      </w:r>
      <w:r w:rsidRPr="006E28E9">
        <w:rPr>
          <w:rFonts w:hint="cs"/>
          <w:rtl/>
        </w:rPr>
        <w:t>،</w:t>
      </w:r>
      <w:r w:rsidRPr="006E28E9">
        <w:rPr>
          <w:rtl/>
        </w:rPr>
        <w:t xml:space="preserve"> و</w:t>
      </w:r>
      <w:r w:rsidRPr="006E28E9">
        <w:rPr>
          <w:rFonts w:hint="cs"/>
          <w:rtl/>
        </w:rPr>
        <w:t xml:space="preserve">قد </w:t>
      </w:r>
      <w:r w:rsidRPr="006E28E9">
        <w:rPr>
          <w:rtl/>
        </w:rPr>
        <w:t xml:space="preserve">انتشر أحد عناوين هذه المجموعة </w:t>
      </w:r>
      <w:r w:rsidRPr="006E28E9">
        <w:rPr>
          <w:rFonts w:hint="cs"/>
          <w:rtl/>
        </w:rPr>
        <w:t>وهو</w:t>
      </w:r>
      <w:r w:rsidRPr="006E28E9">
        <w:rPr>
          <w:rtl/>
        </w:rPr>
        <w:t xml:space="preserve"> «</w:t>
      </w:r>
      <w:r w:rsidRPr="008C7124">
        <w:rPr>
          <w:rStyle w:val="Char9"/>
          <w:sz w:val="20"/>
          <w:szCs w:val="20"/>
          <w:rtl/>
        </w:rPr>
        <w:t xml:space="preserve">الفتح سخن </w:t>
      </w:r>
      <w:r w:rsidRPr="008C7124">
        <w:rPr>
          <w:rStyle w:val="Char9"/>
          <w:rFonts w:hint="cs"/>
          <w:sz w:val="20"/>
          <w:szCs w:val="20"/>
          <w:rtl/>
        </w:rPr>
        <w:t>مى</w:t>
      </w:r>
      <w:r w:rsidRPr="006E28E9">
        <w:rPr>
          <w:rFonts w:ascii="Times New Roman" w:hAnsi="Times New Roman" w:cs="Times New Roman" w:hint="cs"/>
          <w:b/>
          <w:bCs/>
          <w:rtl/>
        </w:rPr>
        <w:t>‌</w:t>
      </w:r>
      <w:r w:rsidRPr="008C7124">
        <w:rPr>
          <w:rStyle w:val="Char9"/>
          <w:rFonts w:hint="cs"/>
          <w:sz w:val="20"/>
          <w:szCs w:val="20"/>
          <w:rtl/>
        </w:rPr>
        <w:t>گ</w:t>
      </w:r>
      <w:r w:rsidRPr="008C7124">
        <w:rPr>
          <w:rStyle w:val="Char9"/>
          <w:sz w:val="20"/>
          <w:szCs w:val="20"/>
          <w:rtl/>
        </w:rPr>
        <w:t>و</w:t>
      </w:r>
      <w:r>
        <w:rPr>
          <w:rStyle w:val="Char9"/>
          <w:sz w:val="20"/>
          <w:szCs w:val="20"/>
          <w:rtl/>
        </w:rPr>
        <w:t>ی</w:t>
      </w:r>
      <w:r w:rsidRPr="008C7124">
        <w:rPr>
          <w:rStyle w:val="Char9"/>
          <w:sz w:val="20"/>
          <w:szCs w:val="20"/>
          <w:rtl/>
        </w:rPr>
        <w:t>د</w:t>
      </w:r>
      <w:r w:rsidRPr="006E28E9">
        <w:rPr>
          <w:rtl/>
        </w:rPr>
        <w:t>» [أي: فتح تتكلّم]</w:t>
      </w:r>
      <w:r w:rsidRPr="006E28E9">
        <w:rPr>
          <w:rFonts w:hint="cs"/>
          <w:rtl/>
        </w:rPr>
        <w:t xml:space="preserve"> </w:t>
      </w:r>
      <w:r w:rsidRPr="006E28E9">
        <w:rPr>
          <w:rtl/>
        </w:rPr>
        <w:t>في إيران على نطاق واسع</w:t>
      </w:r>
      <w:r w:rsidRPr="006E28E9">
        <w:rPr>
          <w:rFonts w:hint="cs"/>
          <w:rtl/>
        </w:rPr>
        <w:t>،</w:t>
      </w:r>
      <w:r w:rsidRPr="006E28E9">
        <w:rPr>
          <w:rtl/>
        </w:rPr>
        <w:t xml:space="preserve">  لاسيما </w:t>
      </w:r>
      <w:r w:rsidRPr="006E28E9">
        <w:rPr>
          <w:rFonts w:hint="cs"/>
          <w:rtl/>
        </w:rPr>
        <w:t xml:space="preserve">قُبَيْل </w:t>
      </w:r>
      <w:r w:rsidRPr="006E28E9">
        <w:rPr>
          <w:rtl/>
        </w:rPr>
        <w:t>الثورة</w:t>
      </w:r>
      <w:r w:rsidRPr="006E28E9">
        <w:rPr>
          <w:rFonts w:hint="cs"/>
          <w:rtl/>
        </w:rPr>
        <w:t>.</w:t>
      </w:r>
      <w:r w:rsidRPr="006E28E9">
        <w:rPr>
          <w:rtl/>
        </w:rPr>
        <w:t xml:space="preserve">    </w:t>
      </w:r>
    </w:p>
    <w:p w:rsidR="008C7124" w:rsidRPr="006E28E9" w:rsidRDefault="008C7124" w:rsidP="007C1704">
      <w:pPr>
        <w:pStyle w:val="FootnoteText"/>
        <w:ind w:firstLine="0"/>
        <w:rPr>
          <w:rStyle w:val="FootnoteReference"/>
          <w:vertAlign w:val="baseline"/>
        </w:rPr>
      </w:pPr>
      <w:r w:rsidRPr="006E28E9">
        <w:rPr>
          <w:rtl/>
        </w:rPr>
        <w:t xml:space="preserve">بعد انتصار الثورة، وبعد تنحية جلال الدين الفارسي عن الترشح لرئاسة الجمهورية [لأن أحد والديه كان أفغانياً ومن ثم لم يتحقق فيه شرط رئيس الجمهورية </w:t>
      </w:r>
      <w:r w:rsidRPr="006E28E9">
        <w:rPr>
          <w:rFonts w:hint="cs"/>
          <w:rtl/>
        </w:rPr>
        <w:t xml:space="preserve">الإيراني </w:t>
      </w:r>
      <w:r w:rsidRPr="006E28E9">
        <w:rPr>
          <w:rtl/>
        </w:rPr>
        <w:t xml:space="preserve">بأن يكون من أبوين إيرانيين] كان حسن </w:t>
      </w:r>
      <w:r w:rsidRPr="006E28E9">
        <w:rPr>
          <w:rFonts w:hint="cs"/>
          <w:rtl/>
        </w:rPr>
        <w:t>حبيبي مرشح مجمع مدرسي الحوزة العلمية</w:t>
      </w:r>
      <w:r w:rsidRPr="006E28E9">
        <w:rPr>
          <w:rtl/>
        </w:rPr>
        <w:t xml:space="preserve"> لمنصب رئاسة الجمهورية، ثم أصبح حسن حبيبي وزيراً للعدل في حكومة رئيس الوزراء مير حسين الموسوي، وأصبح معاوناً لرئيس الجمهورية في حكومة </w:t>
      </w:r>
      <w:r w:rsidRPr="006E28E9">
        <w:rPr>
          <w:rFonts w:hint="cs"/>
          <w:rtl/>
        </w:rPr>
        <w:t>الرئيس</w:t>
      </w:r>
      <w:r w:rsidRPr="006E28E9">
        <w:rPr>
          <w:rtl/>
        </w:rPr>
        <w:t xml:space="preserve"> هاشمي رفسنجاني وكذلك في الدورة الأولى من رئاسة </w:t>
      </w:r>
      <w:r w:rsidRPr="006E28E9">
        <w:rPr>
          <w:rFonts w:hint="cs"/>
          <w:rtl/>
        </w:rPr>
        <w:t xml:space="preserve">جمهورية </w:t>
      </w:r>
      <w:r w:rsidRPr="006E28E9">
        <w:rPr>
          <w:rtl/>
        </w:rPr>
        <w:t>السيد محمد خاتمي</w:t>
      </w:r>
      <w:r w:rsidRPr="006E28E9">
        <w:rPr>
          <w:rFonts w:hint="cs"/>
          <w:rtl/>
        </w:rPr>
        <w:t>.</w:t>
      </w:r>
      <w:r w:rsidRPr="006E28E9">
        <w:rPr>
          <w:rtl/>
        </w:rPr>
        <w:t xml:space="preserve"> كان لحسن حبيبي دور أساسي في تأسيس «مجمع اللغة والأدب الفارسي»، و«مركز علم الإيرانيات» [في طهران] وما يزال حتى الآن رئيساً لهذا المركز، وقد نشر سنة 1376هـ.ش </w:t>
      </w:r>
      <w:r w:rsidRPr="006E28E9">
        <w:rPr>
          <w:rFonts w:hint="cs"/>
          <w:rtl/>
        </w:rPr>
        <w:t xml:space="preserve">[1997م] </w:t>
      </w:r>
      <w:r w:rsidRPr="006E28E9">
        <w:rPr>
          <w:rtl/>
        </w:rPr>
        <w:t>ترجمةً ذاتية لحياته في كتاب عنو</w:t>
      </w:r>
      <w:r w:rsidRPr="006E28E9">
        <w:rPr>
          <w:rFonts w:hint="cs"/>
          <w:rtl/>
        </w:rPr>
        <w:t>ا</w:t>
      </w:r>
      <w:r w:rsidRPr="006E28E9">
        <w:rPr>
          <w:rtl/>
        </w:rPr>
        <w:t xml:space="preserve">نه </w:t>
      </w:r>
      <w:r w:rsidRPr="006E28E9">
        <w:rPr>
          <w:rFonts w:hint="cs"/>
          <w:rtl/>
        </w:rPr>
        <w:t>«</w:t>
      </w:r>
      <w:r w:rsidRPr="008C7124">
        <w:rPr>
          <w:rStyle w:val="Char9"/>
          <w:rFonts w:hint="cs"/>
          <w:sz w:val="20"/>
          <w:szCs w:val="20"/>
          <w:rtl/>
        </w:rPr>
        <w:t xml:space="preserve">حسب حال </w:t>
      </w:r>
      <w:r>
        <w:rPr>
          <w:rStyle w:val="Char9"/>
          <w:rFonts w:hint="cs"/>
          <w:sz w:val="20"/>
          <w:szCs w:val="20"/>
          <w:rtl/>
        </w:rPr>
        <w:t>ی</w:t>
      </w:r>
      <w:r w:rsidRPr="008C7124">
        <w:rPr>
          <w:rStyle w:val="Char9"/>
          <w:rFonts w:hint="cs"/>
          <w:sz w:val="20"/>
          <w:szCs w:val="20"/>
          <w:rtl/>
        </w:rPr>
        <w:t xml:space="preserve">ک دانشجوى </w:t>
      </w:r>
      <w:r>
        <w:rPr>
          <w:rStyle w:val="Char9"/>
          <w:rFonts w:hint="cs"/>
          <w:sz w:val="20"/>
          <w:szCs w:val="20"/>
          <w:rtl/>
        </w:rPr>
        <w:t>ک</w:t>
      </w:r>
      <w:r w:rsidRPr="008C7124">
        <w:rPr>
          <w:rStyle w:val="Char9"/>
          <w:rFonts w:hint="cs"/>
          <w:sz w:val="20"/>
          <w:szCs w:val="20"/>
          <w:rtl/>
        </w:rPr>
        <w:t>هنسال</w:t>
      </w:r>
      <w:r w:rsidRPr="006E28E9">
        <w:rPr>
          <w:rFonts w:hint="cs"/>
          <w:rtl/>
        </w:rPr>
        <w:t>» [</w:t>
      </w:r>
      <w:r w:rsidRPr="006E28E9">
        <w:rPr>
          <w:rtl/>
        </w:rPr>
        <w:t>حسب حال طالبٍ قديم] وأشار السيد حبيبي في كتابه هذا إلى خطبتين ألقاهما سنة 1349و 1350هـ.ش</w:t>
      </w:r>
      <w:r w:rsidRPr="006E28E9">
        <w:rPr>
          <w:rFonts w:hint="cs"/>
          <w:rtl/>
        </w:rPr>
        <w:t xml:space="preserve"> [1970-1971م]</w:t>
      </w:r>
      <w:r w:rsidRPr="006E28E9">
        <w:rPr>
          <w:rtl/>
        </w:rPr>
        <w:t xml:space="preserve"> في ورشتي عمل لاتحادات الطلبة المسلمين في أوروبا تحت عنوان «النظام الإسلامي على أساس التلفيق أم الفقه» (</w:t>
      </w:r>
      <w:r w:rsidRPr="008C7124">
        <w:rPr>
          <w:rStyle w:val="Char9"/>
          <w:sz w:val="20"/>
          <w:szCs w:val="20"/>
          <w:rtl/>
        </w:rPr>
        <w:t>حسب حال</w:t>
      </w:r>
      <w:r w:rsidRPr="006E28E9">
        <w:rPr>
          <w:rtl/>
        </w:rPr>
        <w:t>، ص 88).</w:t>
      </w:r>
    </w:p>
  </w:footnote>
  <w:footnote w:id="36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كتب صادق طباطبائي نقلاً عن السيد حسن حبيبي ي</w:t>
      </w:r>
      <w:r w:rsidRPr="006E28E9">
        <w:rPr>
          <w:rFonts w:hint="cs"/>
          <w:rtl/>
        </w:rPr>
        <w:t>قول</w:t>
      </w:r>
      <w:r w:rsidRPr="006E28E9">
        <w:rPr>
          <w:rStyle w:val="FootnoteReference"/>
          <w:rFonts w:hint="cs"/>
          <w:vertAlign w:val="baseline"/>
          <w:rtl/>
        </w:rPr>
        <w:t>: «عندما ج</w:t>
      </w:r>
      <w:r w:rsidRPr="006E28E9">
        <w:rPr>
          <w:rFonts w:hint="cs"/>
          <w:rtl/>
        </w:rPr>
        <w:t>اء</w:t>
      </w:r>
      <w:r w:rsidRPr="006E28E9">
        <w:rPr>
          <w:rStyle w:val="FootnoteReference"/>
          <w:rFonts w:hint="cs"/>
          <w:vertAlign w:val="baseline"/>
          <w:rtl/>
        </w:rPr>
        <w:t xml:space="preserve"> الدكتور علي شريعتي إلى باريس في شهر ارديبهشت من سنة 1356 هـ.ش</w:t>
      </w:r>
      <w:r w:rsidRPr="006E28E9">
        <w:rPr>
          <w:rFonts w:hint="cs"/>
          <w:rtl/>
        </w:rPr>
        <w:t xml:space="preserve"> [1977م]</w:t>
      </w:r>
      <w:r w:rsidRPr="006E28E9">
        <w:rPr>
          <w:rStyle w:val="FootnoteReference"/>
          <w:rFonts w:hint="cs"/>
          <w:vertAlign w:val="baseline"/>
          <w:rtl/>
        </w:rPr>
        <w:t xml:space="preserve">، كان الوقت قد تجاوز منتصف الليل، وقرع أحدهم الباب، </w:t>
      </w:r>
      <w:r w:rsidRPr="006E28E9">
        <w:rPr>
          <w:rFonts w:hint="cs"/>
          <w:rtl/>
        </w:rPr>
        <w:t xml:space="preserve">ولمَّا </w:t>
      </w:r>
      <w:r w:rsidRPr="006E28E9">
        <w:rPr>
          <w:rStyle w:val="FootnoteReference"/>
          <w:rFonts w:hint="cs"/>
          <w:vertAlign w:val="baseline"/>
          <w:rtl/>
        </w:rPr>
        <w:t>فتحنا الباب ر</w:t>
      </w:r>
      <w:r w:rsidRPr="006E28E9">
        <w:rPr>
          <w:rFonts w:hint="cs"/>
          <w:rtl/>
        </w:rPr>
        <w:t>أينا</w:t>
      </w:r>
      <w:r w:rsidRPr="006E28E9">
        <w:rPr>
          <w:rStyle w:val="FootnoteReference"/>
          <w:rFonts w:hint="cs"/>
          <w:vertAlign w:val="baseline"/>
          <w:rtl/>
        </w:rPr>
        <w:t xml:space="preserve"> صديقنا علي شريعتي، وبعد ف</w:t>
      </w:r>
      <w:r w:rsidRPr="006E28E9">
        <w:rPr>
          <w:rFonts w:hint="cs"/>
          <w:rtl/>
        </w:rPr>
        <w:t>ترة</w:t>
      </w:r>
      <w:r w:rsidRPr="006E28E9">
        <w:rPr>
          <w:rStyle w:val="FootnoteReference"/>
          <w:rFonts w:hint="cs"/>
          <w:vertAlign w:val="baseline"/>
          <w:rtl/>
        </w:rPr>
        <w:t xml:space="preserve"> من ت</w:t>
      </w:r>
      <w:r w:rsidRPr="006E28E9">
        <w:rPr>
          <w:rFonts w:hint="cs"/>
          <w:rtl/>
        </w:rPr>
        <w:t>جاذبنا لأطراف الحديث</w:t>
      </w:r>
      <w:r w:rsidRPr="006E28E9">
        <w:rPr>
          <w:rStyle w:val="FootnoteReference"/>
          <w:rFonts w:hint="cs"/>
          <w:vertAlign w:val="baseline"/>
          <w:rtl/>
        </w:rPr>
        <w:t xml:space="preserve"> سأل الدكتور شريعتي عن أحوال الأصدقاء وقال: كيف حال رئيس جمهوريتنا؟ ويضيف طباطبائي قائلاً: كان يقصد بني صدر، الذي كان يقول منذ السنوات 1336 و1337 </w:t>
      </w:r>
      <w:r w:rsidRPr="006E28E9">
        <w:rPr>
          <w:rFonts w:hint="cs"/>
          <w:rtl/>
          <w:lang w:bidi="ar-SY"/>
        </w:rPr>
        <w:t>هـ.ش</w:t>
      </w:r>
      <w:r w:rsidRPr="006E28E9">
        <w:rPr>
          <w:rFonts w:hint="cs"/>
          <w:rtl/>
        </w:rPr>
        <w:t xml:space="preserve"> [1957-1958م] </w:t>
      </w:r>
      <w:r w:rsidRPr="006E28E9">
        <w:rPr>
          <w:rStyle w:val="FootnoteReference"/>
          <w:rFonts w:hint="cs"/>
          <w:vertAlign w:val="baseline"/>
          <w:rtl/>
        </w:rPr>
        <w:t>و</w:t>
      </w:r>
      <w:r w:rsidRPr="006E28E9">
        <w:rPr>
          <w:rFonts w:hint="cs"/>
          <w:rtl/>
        </w:rPr>
        <w:t xml:space="preserve">خلال </w:t>
      </w:r>
      <w:r w:rsidRPr="006E28E9">
        <w:rPr>
          <w:rStyle w:val="FootnoteReference"/>
          <w:rFonts w:hint="cs"/>
          <w:vertAlign w:val="baseline"/>
          <w:rtl/>
        </w:rPr>
        <w:t>نشاطاته في نهضة المقاومة الوطنية: سأكون أول رئيس جمهورية في إيران، وقد تمسك أكثر الأصدقاء بذلك القول وجعلوه وسيلةً للمزاح</w:t>
      </w:r>
      <w:r w:rsidRPr="006E28E9">
        <w:rPr>
          <w:rFonts w:hint="cs"/>
          <w:rtl/>
        </w:rPr>
        <w:t>،</w:t>
      </w:r>
      <w:r w:rsidRPr="006E28E9">
        <w:rPr>
          <w:rStyle w:val="FootnoteReference"/>
          <w:rFonts w:hint="cs"/>
          <w:vertAlign w:val="baseline"/>
          <w:rtl/>
        </w:rPr>
        <w:t xml:space="preserve"> ولكن قدر الله وقضى أن يتحقق ذلك فعلاً، انظروا: </w:t>
      </w:r>
      <w:r w:rsidRPr="008C7124">
        <w:rPr>
          <w:rStyle w:val="Char9"/>
          <w:rFonts w:hint="cs"/>
          <w:sz w:val="20"/>
          <w:szCs w:val="20"/>
          <w:rtl/>
        </w:rPr>
        <w:t>خاطرات س</w:t>
      </w:r>
      <w:r>
        <w:rPr>
          <w:rStyle w:val="Char9"/>
          <w:rFonts w:hint="cs"/>
          <w:sz w:val="20"/>
          <w:szCs w:val="20"/>
          <w:rtl/>
        </w:rPr>
        <w:t>ی</w:t>
      </w:r>
      <w:r w:rsidRPr="008C7124">
        <w:rPr>
          <w:rStyle w:val="Char9"/>
          <w:rFonts w:hint="cs"/>
          <w:sz w:val="20"/>
          <w:szCs w:val="20"/>
          <w:rtl/>
        </w:rPr>
        <w:t>اس</w:t>
      </w:r>
      <w:r>
        <w:rPr>
          <w:rStyle w:val="Char9"/>
          <w:rFonts w:hint="cs"/>
          <w:sz w:val="20"/>
          <w:szCs w:val="20"/>
          <w:rtl/>
        </w:rPr>
        <w:t>ی</w:t>
      </w:r>
      <w:r w:rsidRPr="008C7124">
        <w:rPr>
          <w:rStyle w:val="Char9"/>
          <w:rFonts w:hint="cs"/>
          <w:sz w:val="20"/>
          <w:szCs w:val="20"/>
          <w:rtl/>
        </w:rPr>
        <w:t xml:space="preserve"> اجتماع</w:t>
      </w:r>
      <w:r>
        <w:rPr>
          <w:rStyle w:val="Char9"/>
          <w:rFonts w:hint="cs"/>
          <w:sz w:val="20"/>
          <w:szCs w:val="20"/>
          <w:rtl/>
        </w:rPr>
        <w:t>ی</w:t>
      </w:r>
      <w:r w:rsidRPr="008C7124">
        <w:rPr>
          <w:rStyle w:val="Char9"/>
          <w:rFonts w:hint="cs"/>
          <w:sz w:val="20"/>
          <w:szCs w:val="20"/>
          <w:rtl/>
        </w:rPr>
        <w:t xml:space="preserve"> د</w:t>
      </w:r>
      <w:r>
        <w:rPr>
          <w:rStyle w:val="Char9"/>
          <w:rFonts w:hint="cs"/>
          <w:sz w:val="20"/>
          <w:szCs w:val="20"/>
          <w:rtl/>
        </w:rPr>
        <w:t>ک</w:t>
      </w:r>
      <w:r w:rsidRPr="008C7124">
        <w:rPr>
          <w:rStyle w:val="Char9"/>
          <w:rFonts w:hint="cs"/>
          <w:sz w:val="20"/>
          <w:szCs w:val="20"/>
          <w:rtl/>
        </w:rPr>
        <w:t>تر صادق طباطبائ</w:t>
      </w:r>
      <w:r>
        <w:rPr>
          <w:rStyle w:val="Char9"/>
          <w:rFonts w:hint="cs"/>
          <w:sz w:val="20"/>
          <w:szCs w:val="20"/>
          <w:rtl/>
        </w:rPr>
        <w:t>ی</w:t>
      </w:r>
      <w:r w:rsidRPr="006E28E9">
        <w:rPr>
          <w:rStyle w:val="FootnoteReference"/>
          <w:rFonts w:hint="cs"/>
          <w:vertAlign w:val="baseline"/>
          <w:rtl/>
        </w:rPr>
        <w:t xml:space="preserve"> [المذكرات السياسية- الاجتماعية للدكتور صادق طباطبائي]، ج 1، ص 136.  </w:t>
      </w:r>
      <w:r w:rsidRPr="006E28E9">
        <w:rPr>
          <w:rStyle w:val="FootnoteReference"/>
          <w:vertAlign w:val="baseline"/>
          <w:rtl/>
        </w:rPr>
        <w:t xml:space="preserve"> </w:t>
      </w:r>
    </w:p>
  </w:footnote>
  <w:footnote w:id="365">
    <w:p w:rsidR="008C7124" w:rsidRPr="006E28E9" w:rsidRDefault="008C7124" w:rsidP="0092648A">
      <w:pPr>
        <w:pStyle w:val="FootnoteText"/>
        <w:rPr>
          <w:rtl/>
          <w:lang w:bidi="ar-SY"/>
        </w:rPr>
      </w:pPr>
      <w:r w:rsidRPr="006E28E9">
        <w:rPr>
          <w:rStyle w:val="FootnoteReference"/>
          <w:rFonts w:ascii="Arabic11 BT" w:hAnsi="Arabic11 BT" w:cs="Arabic11 BT"/>
          <w:vertAlign w:val="baseline"/>
        </w:rPr>
        <w:footnoteRef/>
      </w:r>
      <w:r w:rsidRPr="006E28E9">
        <w:rPr>
          <w:rFonts w:hint="cs"/>
          <w:rtl/>
        </w:rPr>
        <w:t xml:space="preserve">. </w:t>
      </w:r>
      <w:r w:rsidRPr="006E28E9">
        <w:rPr>
          <w:rtl/>
        </w:rPr>
        <w:t>السيد حسن المدرس (1287 - 1355هـ.ق</w:t>
      </w:r>
      <w:r w:rsidRPr="006E28E9">
        <w:rPr>
          <w:rFonts w:hint="cs"/>
          <w:rtl/>
        </w:rPr>
        <w:t>/1870-</w:t>
      </w:r>
      <w:r w:rsidRPr="006E28E9">
        <w:rPr>
          <w:rtl/>
        </w:rPr>
        <w:t xml:space="preserve">) من علماء الشيعة </w:t>
      </w:r>
      <w:r w:rsidRPr="006E28E9">
        <w:rPr>
          <w:rFonts w:hint="cs"/>
          <w:rtl/>
        </w:rPr>
        <w:t xml:space="preserve">الإمامية السياسيين البارزين في إيران. </w:t>
      </w:r>
      <w:r w:rsidRPr="006E28E9">
        <w:rPr>
          <w:rtl/>
        </w:rPr>
        <w:t xml:space="preserve">ولد في </w:t>
      </w:r>
      <w:r w:rsidRPr="006E28E9">
        <w:rPr>
          <w:rFonts w:hint="cs"/>
          <w:rtl/>
        </w:rPr>
        <w:t xml:space="preserve">قرية من قرى </w:t>
      </w:r>
      <w:r w:rsidRPr="006E28E9">
        <w:rPr>
          <w:rtl/>
        </w:rPr>
        <w:t xml:space="preserve">أصفهان ودرس فيها </w:t>
      </w:r>
      <w:r w:rsidRPr="006E28E9">
        <w:rPr>
          <w:rFonts w:hint="cs"/>
          <w:rtl/>
        </w:rPr>
        <w:t xml:space="preserve">ثم في سامراء والنجف، </w:t>
      </w:r>
      <w:r w:rsidRPr="006E28E9">
        <w:rPr>
          <w:rtl/>
        </w:rPr>
        <w:t xml:space="preserve">ثم انتقل إلى طهران ودرَّس فيها. </w:t>
      </w:r>
      <w:r w:rsidRPr="006E28E9">
        <w:rPr>
          <w:rFonts w:hint="cs"/>
          <w:rtl/>
        </w:rPr>
        <w:t xml:space="preserve">كان من </w:t>
      </w:r>
      <w:r w:rsidRPr="006E28E9">
        <w:rPr>
          <w:rtl/>
        </w:rPr>
        <w:t xml:space="preserve">المناضلين ضد </w:t>
      </w:r>
      <w:r w:rsidRPr="006E28E9">
        <w:rPr>
          <w:rFonts w:hint="cs"/>
          <w:rtl/>
        </w:rPr>
        <w:t xml:space="preserve">هيمنة الإنجليز وتابعهم </w:t>
      </w:r>
      <w:r w:rsidRPr="006E28E9">
        <w:rPr>
          <w:rtl/>
        </w:rPr>
        <w:t xml:space="preserve">الشاه رضا خان بهلوي، دخل المجلس النيابي </w:t>
      </w:r>
      <w:r w:rsidRPr="006E28E9">
        <w:rPr>
          <w:rFonts w:hint="cs"/>
          <w:rtl/>
        </w:rPr>
        <w:t xml:space="preserve">ممثلا عن طهران في عهد رضا شاه في دورتين </w:t>
      </w:r>
      <w:r w:rsidRPr="006E28E9">
        <w:rPr>
          <w:rtl/>
        </w:rPr>
        <w:t>وكانت له مواقف جريئة ضد سياسات الشاه</w:t>
      </w:r>
      <w:r w:rsidRPr="006E28E9">
        <w:rPr>
          <w:rFonts w:hint="cs"/>
          <w:rtl/>
        </w:rPr>
        <w:t>.</w:t>
      </w:r>
      <w:r w:rsidRPr="006E28E9">
        <w:rPr>
          <w:rtl/>
        </w:rPr>
        <w:t xml:space="preserve"> تعرض لمحاولة اغتيال مرتين من قبل أزلام </w:t>
      </w:r>
      <w:r w:rsidRPr="006E28E9">
        <w:rPr>
          <w:rFonts w:hint="cs"/>
          <w:rtl/>
        </w:rPr>
        <w:t>الشاه</w:t>
      </w:r>
      <w:r w:rsidRPr="006E28E9">
        <w:rPr>
          <w:rtl/>
        </w:rPr>
        <w:t xml:space="preserve"> </w:t>
      </w:r>
      <w:r w:rsidRPr="006E28E9">
        <w:rPr>
          <w:rFonts w:hint="cs"/>
          <w:rtl/>
        </w:rPr>
        <w:t xml:space="preserve">باءتا بالفشل، </w:t>
      </w:r>
      <w:r w:rsidRPr="006E28E9">
        <w:rPr>
          <w:rtl/>
        </w:rPr>
        <w:t xml:space="preserve">ثم نفاه </w:t>
      </w:r>
      <w:r w:rsidRPr="006E28E9">
        <w:rPr>
          <w:rFonts w:hint="cs"/>
          <w:rtl/>
        </w:rPr>
        <w:t xml:space="preserve">رضا شاه </w:t>
      </w:r>
      <w:r w:rsidRPr="006E28E9">
        <w:rPr>
          <w:rtl/>
        </w:rPr>
        <w:t>عام 1347 هـ.ق</w:t>
      </w:r>
      <w:r w:rsidRPr="006E28E9">
        <w:rPr>
          <w:rFonts w:hint="cs"/>
          <w:rtl/>
        </w:rPr>
        <w:t xml:space="preserve">/1928م </w:t>
      </w:r>
      <w:r w:rsidRPr="006E28E9">
        <w:rPr>
          <w:rtl/>
        </w:rPr>
        <w:t xml:space="preserve"> إلى خراسان </w:t>
      </w:r>
      <w:r w:rsidRPr="006E28E9">
        <w:rPr>
          <w:rFonts w:hint="cs"/>
          <w:rtl/>
        </w:rPr>
        <w:t xml:space="preserve">حيث </w:t>
      </w:r>
      <w:r w:rsidRPr="006E28E9">
        <w:rPr>
          <w:rtl/>
        </w:rPr>
        <w:t>بقي منفي</w:t>
      </w:r>
      <w:r w:rsidRPr="006E28E9">
        <w:rPr>
          <w:rFonts w:hint="cs"/>
          <w:rtl/>
        </w:rPr>
        <w:t>ًّ</w:t>
      </w:r>
      <w:r w:rsidRPr="006E28E9">
        <w:rPr>
          <w:rtl/>
        </w:rPr>
        <w:t xml:space="preserve">ا فيها </w:t>
      </w:r>
      <w:r w:rsidRPr="006E28E9">
        <w:rPr>
          <w:rFonts w:hint="cs"/>
          <w:rtl/>
        </w:rPr>
        <w:t xml:space="preserve">حتى عام 1356 </w:t>
      </w:r>
      <w:r w:rsidRPr="006E28E9">
        <w:rPr>
          <w:rFonts w:hint="cs"/>
          <w:rtl/>
          <w:lang w:bidi="ar-SY"/>
        </w:rPr>
        <w:t>هـ.ق /1937م،</w:t>
      </w:r>
      <w:r w:rsidRPr="006E28E9">
        <w:rPr>
          <w:rFonts w:hint="cs"/>
          <w:rtl/>
        </w:rPr>
        <w:t xml:space="preserve"> حين أمر الشاه ب</w:t>
      </w:r>
      <w:r w:rsidRPr="006E28E9">
        <w:rPr>
          <w:rtl/>
        </w:rPr>
        <w:t>نقل</w:t>
      </w:r>
      <w:r w:rsidRPr="006E28E9">
        <w:rPr>
          <w:rFonts w:hint="cs"/>
          <w:rtl/>
        </w:rPr>
        <w:t>ه</w:t>
      </w:r>
      <w:r w:rsidRPr="006E28E9">
        <w:rPr>
          <w:rtl/>
        </w:rPr>
        <w:t xml:space="preserve"> إلى سجن في </w:t>
      </w:r>
      <w:r w:rsidRPr="006E28E9">
        <w:rPr>
          <w:rFonts w:hint="cs"/>
          <w:rtl/>
        </w:rPr>
        <w:t xml:space="preserve">مدينة كاشمر </w:t>
      </w:r>
      <w:r w:rsidRPr="006E28E9">
        <w:rPr>
          <w:rtl/>
        </w:rPr>
        <w:t>جنوب خراس</w:t>
      </w:r>
      <w:r w:rsidRPr="006E28E9">
        <w:rPr>
          <w:rFonts w:hint="cs"/>
          <w:rtl/>
        </w:rPr>
        <w:t>ا</w:t>
      </w:r>
      <w:r w:rsidRPr="006E28E9">
        <w:rPr>
          <w:rtl/>
        </w:rPr>
        <w:t xml:space="preserve">ن </w:t>
      </w:r>
      <w:r w:rsidRPr="006E28E9">
        <w:rPr>
          <w:rFonts w:hint="cs"/>
          <w:rtl/>
        </w:rPr>
        <w:t>و</w:t>
      </w:r>
      <w:r w:rsidRPr="006E28E9">
        <w:rPr>
          <w:rtl/>
        </w:rPr>
        <w:t>توفي في السجن</w:t>
      </w:r>
      <w:r w:rsidRPr="006E28E9">
        <w:rPr>
          <w:rFonts w:hint="cs"/>
          <w:rtl/>
        </w:rPr>
        <w:t xml:space="preserve"> في العام ذاته، </w:t>
      </w:r>
      <w:r w:rsidRPr="006E28E9">
        <w:rPr>
          <w:rtl/>
        </w:rPr>
        <w:t>قيل بسبب سمٍّ د</w:t>
      </w:r>
      <w:r w:rsidRPr="006E28E9">
        <w:rPr>
          <w:rFonts w:hint="cs"/>
          <w:rtl/>
        </w:rPr>
        <w:t>ُ</w:t>
      </w:r>
      <w:r w:rsidRPr="006E28E9">
        <w:rPr>
          <w:rtl/>
        </w:rPr>
        <w:t>سَّ له فيه.</w:t>
      </w:r>
      <w:r w:rsidRPr="006E28E9">
        <w:rPr>
          <w:rFonts w:hint="cs"/>
          <w:rtl/>
          <w:lang w:bidi="ar-SY"/>
        </w:rPr>
        <w:t xml:space="preserve"> (المُتَرْجِمُ)</w:t>
      </w:r>
    </w:p>
  </w:footnote>
  <w:footnote w:id="36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w:t>
      </w:r>
      <w:r w:rsidRPr="007C1704">
        <w:rPr>
          <w:rStyle w:val="Char9"/>
          <w:rFonts w:hint="cs"/>
          <w:sz w:val="20"/>
          <w:szCs w:val="20"/>
          <w:rtl/>
        </w:rPr>
        <w:t>حسن ومحبوبه</w:t>
      </w:r>
      <w:r w:rsidRPr="006E28E9">
        <w:rPr>
          <w:rFonts w:hint="cs"/>
          <w:rtl/>
          <w:lang w:bidi="ar-SY"/>
        </w:rPr>
        <w:t xml:space="preserve">» </w:t>
      </w:r>
      <w:r w:rsidRPr="006E28E9">
        <w:rPr>
          <w:rStyle w:val="FootnoteReference"/>
          <w:rFonts w:hint="cs"/>
          <w:vertAlign w:val="baseline"/>
          <w:rtl/>
        </w:rPr>
        <w:t>عنوان كتاب للدكتور شريعتي. والعنوان اسم شخصيتين واقعيتين لشاب وزوجته، من المناضلين ضد نظام الشاه، ومن أعضاء منظمة مجاهدين خلق في بداياتها [أي عندما كانت تحمل فكراً إسلامياً قبل أن يحصل فيها انقلاب إيديولوجي نحو الماركسية]، وقد قُتِل حسن وزوجته محبوبة خلال في اشتباك مع رجال أمن الشاه [السافاك]. (المُتَرْجِمُ)</w:t>
      </w:r>
      <w:r w:rsidRPr="006E28E9">
        <w:rPr>
          <w:rStyle w:val="FootnoteReference"/>
          <w:rFonts w:hint="cs"/>
          <w:vertAlign w:val="baseline"/>
          <w:rtl/>
        </w:rPr>
        <w:tab/>
      </w:r>
    </w:p>
  </w:footnote>
  <w:footnote w:id="36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7C1704">
        <w:rPr>
          <w:rStyle w:val="Char9"/>
          <w:rFonts w:hint="cs"/>
          <w:sz w:val="20"/>
          <w:szCs w:val="20"/>
          <w:rtl/>
        </w:rPr>
        <w:t>و</w:t>
      </w:r>
      <w:r>
        <w:rPr>
          <w:rStyle w:val="Char9"/>
          <w:rFonts w:hint="cs"/>
          <w:sz w:val="20"/>
          <w:szCs w:val="20"/>
          <w:rtl/>
        </w:rPr>
        <w:t>ی</w:t>
      </w:r>
      <w:r w:rsidRPr="007C1704">
        <w:rPr>
          <w:rStyle w:val="Char9"/>
          <w:rFonts w:hint="cs"/>
          <w:sz w:val="20"/>
          <w:szCs w:val="20"/>
          <w:rtl/>
        </w:rPr>
        <w:t xml:space="preserve">ژه‌نامه </w:t>
      </w:r>
      <w:r>
        <w:rPr>
          <w:rStyle w:val="Char9"/>
          <w:rFonts w:hint="cs"/>
          <w:sz w:val="20"/>
          <w:szCs w:val="20"/>
          <w:rtl/>
        </w:rPr>
        <w:t>یک</w:t>
      </w:r>
      <w:r w:rsidRPr="007C1704">
        <w:rPr>
          <w:rStyle w:val="Char9"/>
          <w:rFonts w:hint="cs"/>
          <w:sz w:val="20"/>
          <w:szCs w:val="20"/>
          <w:rtl/>
        </w:rPr>
        <w:t>م</w:t>
      </w:r>
      <w:r>
        <w:rPr>
          <w:rStyle w:val="Char9"/>
          <w:rFonts w:hint="cs"/>
          <w:sz w:val="20"/>
          <w:szCs w:val="20"/>
          <w:rtl/>
        </w:rPr>
        <w:t>ی</w:t>
      </w:r>
      <w:r w:rsidRPr="007C1704">
        <w:rPr>
          <w:rStyle w:val="Char9"/>
          <w:rFonts w:hint="cs"/>
          <w:sz w:val="20"/>
          <w:szCs w:val="20"/>
          <w:rtl/>
        </w:rPr>
        <w:t>ن سالگرد</w:t>
      </w:r>
      <w:r w:rsidRPr="006E28E9">
        <w:rPr>
          <w:rStyle w:val="FootnoteReference"/>
          <w:rFonts w:hint="cs"/>
          <w:vertAlign w:val="baseline"/>
          <w:rtl/>
        </w:rPr>
        <w:t xml:space="preserve">، [عدد خاص بمناسبة الذكرى السنوية الأولى]، ص 131 - 132. </w:t>
      </w:r>
      <w:r w:rsidRPr="006E28E9">
        <w:rPr>
          <w:rStyle w:val="FootnoteReference"/>
          <w:vertAlign w:val="baseline"/>
          <w:rtl/>
        </w:rPr>
        <w:t xml:space="preserve"> </w:t>
      </w:r>
    </w:p>
  </w:footnote>
  <w:footnote w:id="36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قامت دار نشر آزادي في قم سنة 1360 هـ.ش بنشر مقال «</w:t>
      </w:r>
      <w:r w:rsidRPr="008C7124">
        <w:rPr>
          <w:rStyle w:val="Char9"/>
          <w:rFonts w:hint="cs"/>
          <w:sz w:val="20"/>
          <w:szCs w:val="20"/>
          <w:rtl/>
        </w:rPr>
        <w:t>در روش</w:t>
      </w:r>
      <w:r w:rsidRPr="006E28E9">
        <w:rPr>
          <w:rStyle w:val="FootnoteReference"/>
          <w:rFonts w:hint="cs"/>
          <w:vertAlign w:val="baseline"/>
          <w:rtl/>
        </w:rPr>
        <w:t>» [في المنهج] مع نقد السيد مطهري وتقديم السيد رضا فاكر في كتاب حمل عنوان «</w:t>
      </w:r>
      <w:r w:rsidRPr="008C7124">
        <w:rPr>
          <w:rStyle w:val="Char9"/>
          <w:rFonts w:hint="cs"/>
          <w:sz w:val="20"/>
          <w:szCs w:val="20"/>
          <w:rtl/>
        </w:rPr>
        <w:t>در روش، نقد وبرس</w:t>
      </w:r>
      <w:r>
        <w:rPr>
          <w:rStyle w:val="Char9"/>
          <w:rFonts w:hint="cs"/>
          <w:sz w:val="20"/>
          <w:szCs w:val="20"/>
          <w:rtl/>
        </w:rPr>
        <w:t>ی</w:t>
      </w:r>
      <w:r w:rsidRPr="006E28E9">
        <w:rPr>
          <w:rStyle w:val="FootnoteReference"/>
          <w:rFonts w:hint="cs"/>
          <w:vertAlign w:val="baseline"/>
          <w:rtl/>
        </w:rPr>
        <w:t>» [في المنهج، نقد ودراسة].</w:t>
      </w:r>
      <w:r w:rsidRPr="006E28E9">
        <w:rPr>
          <w:rStyle w:val="FootnoteReference"/>
          <w:vertAlign w:val="baseline"/>
          <w:rtl/>
        </w:rPr>
        <w:t xml:space="preserve"> </w:t>
      </w:r>
    </w:p>
  </w:footnote>
  <w:footnote w:id="369">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أي المعاد والنبوة والإمامة والعدل.</w:t>
      </w:r>
      <w:r w:rsidRPr="006E28E9">
        <w:rPr>
          <w:rFonts w:hint="cs"/>
          <w:rtl/>
        </w:rPr>
        <w:t xml:space="preserve"> </w:t>
      </w:r>
      <w:r w:rsidRPr="006E28E9">
        <w:rPr>
          <w:rFonts w:hint="cs"/>
          <w:rtl/>
        </w:rPr>
        <w:t>(المُتَرْجِمُ)</w:t>
      </w:r>
    </w:p>
  </w:footnote>
  <w:footnote w:id="370">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روش شناخت بر پا</w:t>
      </w:r>
      <w:r>
        <w:rPr>
          <w:rStyle w:val="Char9"/>
          <w:rFonts w:hint="cs"/>
          <w:sz w:val="20"/>
          <w:szCs w:val="20"/>
          <w:rtl/>
        </w:rPr>
        <w:t>ی</w:t>
      </w:r>
      <w:r w:rsidRPr="008C7124">
        <w:rPr>
          <w:rStyle w:val="Char9"/>
          <w:rFonts w:hint="cs"/>
          <w:sz w:val="20"/>
          <w:szCs w:val="20"/>
          <w:rtl/>
        </w:rPr>
        <w:t>ه توح</w:t>
      </w:r>
      <w:r>
        <w:rPr>
          <w:rStyle w:val="Char9"/>
          <w:rFonts w:hint="cs"/>
          <w:sz w:val="20"/>
          <w:szCs w:val="20"/>
          <w:rtl/>
        </w:rPr>
        <w:t>ی</w:t>
      </w:r>
      <w:r w:rsidRPr="008C7124">
        <w:rPr>
          <w:rStyle w:val="Char9"/>
          <w:rFonts w:hint="cs"/>
          <w:sz w:val="20"/>
          <w:szCs w:val="20"/>
          <w:rtl/>
        </w:rPr>
        <w:t>د</w:t>
      </w:r>
      <w:r w:rsidRPr="006E28E9">
        <w:rPr>
          <w:rStyle w:val="FootnoteReference"/>
          <w:rFonts w:hint="cs"/>
          <w:vertAlign w:val="baseline"/>
          <w:rtl/>
        </w:rPr>
        <w:t xml:space="preserve"> [منهج المعرفة على أساس التوحيد]، ص 8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10.</w:t>
      </w:r>
    </w:p>
  </w:footnote>
  <w:footnote w:id="37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12.</w:t>
      </w:r>
    </w:p>
  </w:footnote>
  <w:footnote w:id="37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b/>
          <w:bCs/>
          <w:vertAlign w:val="baseline"/>
          <w:rtl/>
        </w:rPr>
        <w:t>المصدر نفسه</w:t>
      </w:r>
      <w:r w:rsidRPr="006E28E9">
        <w:rPr>
          <w:rStyle w:val="FootnoteReference"/>
          <w:vertAlign w:val="baseline"/>
          <w:rtl/>
        </w:rPr>
        <w:t xml:space="preserve">، ص 13-14. </w:t>
      </w:r>
    </w:p>
  </w:footnote>
  <w:footnote w:id="37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b/>
          <w:bCs/>
          <w:vertAlign w:val="baseline"/>
          <w:rtl/>
        </w:rPr>
        <w:t>المصدر نفسه</w:t>
      </w:r>
      <w:r w:rsidRPr="006E28E9">
        <w:rPr>
          <w:rStyle w:val="FootnoteReference"/>
          <w:vertAlign w:val="baseline"/>
          <w:rtl/>
        </w:rPr>
        <w:t xml:space="preserve">، ص 20. </w:t>
      </w:r>
    </w:p>
  </w:footnote>
  <w:footnote w:id="37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b/>
          <w:bCs/>
          <w:vertAlign w:val="baseline"/>
          <w:rtl/>
        </w:rPr>
        <w:t>المصدر نفسه</w:t>
      </w:r>
      <w:r w:rsidRPr="006E28E9">
        <w:rPr>
          <w:rStyle w:val="FootnoteReference"/>
          <w:vertAlign w:val="baseline"/>
          <w:rtl/>
        </w:rPr>
        <w:t xml:space="preserve"> ص 24. </w:t>
      </w:r>
    </w:p>
  </w:footnote>
  <w:footnote w:id="37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sz w:val="20"/>
          <w:szCs w:val="20"/>
          <w:rtl/>
        </w:rPr>
        <w:t>أصول راهنما وضابطه</w:t>
      </w:r>
      <w:r w:rsidRPr="006E28E9">
        <w:rPr>
          <w:rFonts w:ascii="Times New Roman" w:hAnsi="Times New Roman" w:cs="Times New Roman" w:hint="cs"/>
          <w:b/>
          <w:bCs/>
          <w:rtl/>
        </w:rPr>
        <w:t>‌</w:t>
      </w:r>
      <w:r w:rsidRPr="008C7124">
        <w:rPr>
          <w:rStyle w:val="Char9"/>
          <w:sz w:val="20"/>
          <w:szCs w:val="20"/>
          <w:rtl/>
        </w:rPr>
        <w:t>هاى ح</w:t>
      </w:r>
      <w:r>
        <w:rPr>
          <w:rStyle w:val="Char9"/>
          <w:sz w:val="20"/>
          <w:szCs w:val="20"/>
          <w:rtl/>
        </w:rPr>
        <w:t>ک</w:t>
      </w:r>
      <w:r w:rsidRPr="008C7124">
        <w:rPr>
          <w:rStyle w:val="Char9"/>
          <w:sz w:val="20"/>
          <w:szCs w:val="20"/>
          <w:rtl/>
        </w:rPr>
        <w:t>ومت إسلام</w:t>
      </w:r>
      <w:r>
        <w:rPr>
          <w:rStyle w:val="Char9"/>
          <w:sz w:val="20"/>
          <w:szCs w:val="20"/>
          <w:rtl/>
        </w:rPr>
        <w:t>ی</w:t>
      </w:r>
      <w:r w:rsidRPr="008C7124">
        <w:rPr>
          <w:rStyle w:val="Char9"/>
          <w:rFonts w:hint="cs"/>
          <w:sz w:val="20"/>
          <w:szCs w:val="20"/>
          <w:rtl/>
        </w:rPr>
        <w:t xml:space="preserve"> </w:t>
      </w:r>
      <w:r w:rsidRPr="006E28E9">
        <w:rPr>
          <w:rFonts w:hint="cs"/>
          <w:rtl/>
        </w:rPr>
        <w:t>[الأصول المرشدة وضوابط الحكومة الإسلامية]</w:t>
      </w:r>
      <w:r w:rsidRPr="006E28E9">
        <w:rPr>
          <w:rStyle w:val="FootnoteReference"/>
          <w:vertAlign w:val="baseline"/>
          <w:rtl/>
        </w:rPr>
        <w:t xml:space="preserve">، ص 106. </w:t>
      </w:r>
    </w:p>
  </w:footnote>
  <w:footnote w:id="37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b/>
          <w:bCs/>
          <w:vertAlign w:val="baseline"/>
          <w:rtl/>
        </w:rPr>
        <w:t>المصدر نفسه</w:t>
      </w:r>
      <w:r w:rsidRPr="006E28E9">
        <w:rPr>
          <w:rStyle w:val="FootnoteReference"/>
          <w:vertAlign w:val="baseline"/>
          <w:rtl/>
        </w:rPr>
        <w:t xml:space="preserve">، ص 74. </w:t>
      </w:r>
    </w:p>
  </w:footnote>
  <w:footnote w:id="37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م</w:t>
      </w:r>
      <w:r>
        <w:rPr>
          <w:rStyle w:val="Char9"/>
          <w:rFonts w:hint="cs"/>
          <w:sz w:val="20"/>
          <w:szCs w:val="20"/>
          <w:rtl/>
        </w:rPr>
        <w:t>ک</w:t>
      </w:r>
      <w:r w:rsidRPr="008C7124">
        <w:rPr>
          <w:rStyle w:val="Char9"/>
          <w:rFonts w:hint="cs"/>
          <w:sz w:val="20"/>
          <w:szCs w:val="20"/>
          <w:rtl/>
        </w:rPr>
        <w:t>تب در فرا</w:t>
      </w:r>
      <w:r>
        <w:rPr>
          <w:rStyle w:val="Char9"/>
          <w:rFonts w:hint="cs"/>
          <w:sz w:val="20"/>
          <w:szCs w:val="20"/>
          <w:rtl/>
        </w:rPr>
        <w:t>ی</w:t>
      </w:r>
      <w:r w:rsidRPr="008C7124">
        <w:rPr>
          <w:rStyle w:val="Char9"/>
          <w:rFonts w:hint="cs"/>
          <w:sz w:val="20"/>
          <w:szCs w:val="20"/>
          <w:rtl/>
        </w:rPr>
        <w:t>ند ت</w:t>
      </w:r>
      <w:r>
        <w:rPr>
          <w:rStyle w:val="Char9"/>
          <w:rFonts w:hint="cs"/>
          <w:sz w:val="20"/>
          <w:szCs w:val="20"/>
          <w:rtl/>
        </w:rPr>
        <w:t>ک</w:t>
      </w:r>
      <w:r w:rsidRPr="008C7124">
        <w:rPr>
          <w:rStyle w:val="Char9"/>
          <w:rFonts w:hint="cs"/>
          <w:sz w:val="20"/>
          <w:szCs w:val="20"/>
          <w:rtl/>
        </w:rPr>
        <w:t xml:space="preserve">امل </w:t>
      </w:r>
      <w:r w:rsidRPr="006E28E9">
        <w:rPr>
          <w:rStyle w:val="FootnoteReference"/>
          <w:rFonts w:hint="cs"/>
          <w:vertAlign w:val="baseline"/>
          <w:rtl/>
        </w:rPr>
        <w:t>[م</w:t>
      </w:r>
      <w:r w:rsidRPr="006E28E9">
        <w:rPr>
          <w:rFonts w:hint="cs"/>
          <w:rtl/>
        </w:rPr>
        <w:t>ذهب في</w:t>
      </w:r>
      <w:r w:rsidRPr="006E28E9">
        <w:rPr>
          <w:rStyle w:val="FootnoteReference"/>
          <w:rFonts w:hint="cs"/>
          <w:vertAlign w:val="baseline"/>
          <w:rtl/>
        </w:rPr>
        <w:t xml:space="preserve"> عملية التكامل]، </w:t>
      </w:r>
      <w:r w:rsidRPr="006E28E9">
        <w:rPr>
          <w:rStyle w:val="FootnoteReference"/>
          <w:rFonts w:hint="cs"/>
          <w:b/>
          <w:bCs/>
          <w:vertAlign w:val="baseline"/>
          <w:rtl/>
        </w:rPr>
        <w:t>حسين المدرسي</w:t>
      </w:r>
      <w:r w:rsidRPr="006E28E9">
        <w:rPr>
          <w:rStyle w:val="FootnoteReference"/>
          <w:rFonts w:hint="cs"/>
          <w:vertAlign w:val="baseline"/>
          <w:rtl/>
        </w:rPr>
        <w:t>، (أمريكا، 1374 هـ.ش)، الفصل الثاني: الغلو والتقصير والطريق الوسط.</w:t>
      </w:r>
    </w:p>
  </w:footnote>
  <w:footnote w:id="37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منهم</w:t>
      </w:r>
      <w:r w:rsidRPr="006E28E9">
        <w:rPr>
          <w:rFonts w:hint="cs"/>
          <w:rtl/>
        </w:rPr>
        <w:t xml:space="preserve"> </w:t>
      </w:r>
      <w:r w:rsidRPr="006E28E9">
        <w:rPr>
          <w:rFonts w:hint="cs"/>
          <w:rtl/>
        </w:rPr>
        <w:t xml:space="preserve">على سبيل المثال: </w:t>
      </w:r>
      <w:r w:rsidRPr="006E28E9">
        <w:rPr>
          <w:rStyle w:val="FootnoteReference"/>
          <w:vertAlign w:val="baseline"/>
          <w:rtl/>
        </w:rPr>
        <w:t>مهدوي كني</w:t>
      </w:r>
      <w:r w:rsidRPr="006E28E9">
        <w:rPr>
          <w:rFonts w:hint="cs"/>
          <w:rtl/>
        </w:rPr>
        <w:t>،</w:t>
      </w:r>
      <w:r w:rsidRPr="006E28E9">
        <w:rPr>
          <w:rStyle w:val="FootnoteReference"/>
          <w:vertAlign w:val="baseline"/>
          <w:rtl/>
        </w:rPr>
        <w:t xml:space="preserve"> وهاشمي رفسنجاني</w:t>
      </w:r>
      <w:r w:rsidRPr="006E28E9">
        <w:rPr>
          <w:rFonts w:hint="cs"/>
          <w:rtl/>
        </w:rPr>
        <w:t>،</w:t>
      </w:r>
      <w:r w:rsidRPr="006E28E9">
        <w:rPr>
          <w:rStyle w:val="FootnoteReference"/>
          <w:vertAlign w:val="baseline"/>
          <w:rtl/>
        </w:rPr>
        <w:t xml:space="preserve"> ومحمَّدي جيلاني</w:t>
      </w:r>
      <w:r w:rsidRPr="006E28E9">
        <w:rPr>
          <w:rFonts w:hint="cs"/>
          <w:rtl/>
        </w:rPr>
        <w:t>،</w:t>
      </w:r>
      <w:r w:rsidRPr="006E28E9">
        <w:rPr>
          <w:rStyle w:val="FootnoteReference"/>
          <w:vertAlign w:val="baseline"/>
          <w:rtl/>
        </w:rPr>
        <w:t xml:space="preserve"> ومحفوظي</w:t>
      </w:r>
      <w:r w:rsidRPr="006E28E9">
        <w:rPr>
          <w:rFonts w:hint="cs"/>
          <w:rtl/>
        </w:rPr>
        <w:t>،</w:t>
      </w:r>
      <w:r w:rsidRPr="006E28E9">
        <w:rPr>
          <w:rStyle w:val="FootnoteReference"/>
          <w:vertAlign w:val="baseline"/>
          <w:rtl/>
        </w:rPr>
        <w:t xml:space="preserve"> وحسن صانعي</w:t>
      </w:r>
      <w:r w:rsidRPr="006E28E9">
        <w:rPr>
          <w:rFonts w:hint="cs"/>
          <w:rtl/>
        </w:rPr>
        <w:t>،</w:t>
      </w:r>
      <w:r w:rsidRPr="006E28E9">
        <w:rPr>
          <w:rStyle w:val="FootnoteReference"/>
          <w:vertAlign w:val="baseline"/>
          <w:rtl/>
        </w:rPr>
        <w:t xml:space="preserve"> ولاهوتي إشْكَوَرِيّ</w:t>
      </w:r>
      <w:r w:rsidRPr="006E28E9">
        <w:rPr>
          <w:rFonts w:hint="cs"/>
          <w:rtl/>
        </w:rPr>
        <w:t>،</w:t>
      </w:r>
      <w:r w:rsidRPr="006E28E9">
        <w:rPr>
          <w:rStyle w:val="FootnoteReference"/>
          <w:vertAlign w:val="baseline"/>
          <w:rtl/>
        </w:rPr>
        <w:t xml:space="preserve"> وربَّاني أمْلَشِي</w:t>
      </w:r>
      <w:r w:rsidRPr="006E28E9">
        <w:rPr>
          <w:rFonts w:hint="cs"/>
          <w:rtl/>
        </w:rPr>
        <w:t xml:space="preserve">. </w:t>
      </w:r>
      <w:r w:rsidRPr="006E28E9">
        <w:rPr>
          <w:rFonts w:hint="cs"/>
          <w:rtl/>
          <w:lang w:bidi="ar-SY"/>
        </w:rPr>
        <w:t>(المُتَرْجِمُ)</w:t>
      </w:r>
    </w:p>
  </w:footnote>
  <w:footnote w:id="379">
    <w:p w:rsidR="008C7124" w:rsidRPr="006E28E9" w:rsidRDefault="008C7124" w:rsidP="00924380">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من الغريب أن </w:t>
      </w:r>
      <w:r w:rsidRPr="006E28E9">
        <w:rPr>
          <w:rFonts w:hint="cs"/>
          <w:rtl/>
        </w:rPr>
        <w:t xml:space="preserve">يبحث المؤلف عن جذور محاربة الغلو لدى عالم من علماء الحوزة مع أن المفروض أن يكون ذلك من البديهيات التي لا تحتاج إلى البحث عن جذورها، لاسيما أن محاربة الغلو تعود في جذورها - كما قال قبل قليل - </w:t>
      </w:r>
      <w:r w:rsidRPr="006E28E9">
        <w:rPr>
          <w:rStyle w:val="FootnoteReference"/>
          <w:rFonts w:hint="cs"/>
          <w:vertAlign w:val="baseline"/>
          <w:rtl/>
        </w:rPr>
        <w:t>إلى عصر الأئمة</w:t>
      </w:r>
      <w:r w:rsidRPr="006E28E9">
        <w:rPr>
          <w:rFonts w:hint="cs"/>
          <w:rtl/>
        </w:rPr>
        <w:t xml:space="preserve"> </w:t>
      </w:r>
      <w:r>
        <w:rPr>
          <w:rFonts w:cs="CTraditional Arabic" w:hint="cs"/>
          <w:rtl/>
        </w:rPr>
        <w:t>†</w:t>
      </w:r>
      <w:r w:rsidRPr="006E28E9">
        <w:rPr>
          <w:rStyle w:val="FootnoteReference"/>
          <w:rFonts w:hint="cs"/>
          <w:vertAlign w:val="baseline"/>
          <w:rtl/>
        </w:rPr>
        <w:t xml:space="preserve"> أنفسهم. وهذا مثل أن يلتزم عالم بصلاة الجماعة فيُقال: ل</w:t>
      </w:r>
      <w:r w:rsidRPr="006E28E9">
        <w:rPr>
          <w:rFonts w:hint="cs"/>
          <w:rtl/>
        </w:rPr>
        <w:t>م نكتشف بعد جذور هذا الميل لديه!!!</w:t>
      </w:r>
      <w:r w:rsidRPr="006E28E9">
        <w:rPr>
          <w:rStyle w:val="FootnoteReference"/>
          <w:rFonts w:hint="cs"/>
          <w:vertAlign w:val="baseline"/>
          <w:rtl/>
        </w:rPr>
        <w:t xml:space="preserve"> </w:t>
      </w:r>
      <w:r w:rsidRPr="006E28E9">
        <w:rPr>
          <w:rStyle w:val="FootnoteReference"/>
          <w:rFonts w:hint="cs"/>
          <w:vertAlign w:val="baseline"/>
          <w:rtl/>
          <w:lang w:bidi="ar-SY"/>
        </w:rPr>
        <w:t>(المُتَرْجِمُ)</w:t>
      </w:r>
    </w:p>
  </w:footnote>
  <w:footnote w:id="380">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درى نجف آبادى</w:t>
      </w:r>
      <w:r w:rsidRPr="006E28E9">
        <w:rPr>
          <w:rStyle w:val="FootnoteReference"/>
          <w:rFonts w:hint="cs"/>
          <w:vertAlign w:val="baseline"/>
          <w:rtl/>
        </w:rPr>
        <w:t xml:space="preserve"> [مذكرات دري نجف آبادي]، ص 121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122.</w:t>
      </w:r>
    </w:p>
  </w:footnote>
  <w:footnote w:id="38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نص التقريظ هو التالي: </w:t>
      </w:r>
      <w:r w:rsidRPr="006E28E9">
        <w:rPr>
          <w:rFonts w:hint="cs"/>
          <w:rtl/>
          <w:lang w:bidi="ar-SY"/>
        </w:rPr>
        <w:t>«</w:t>
      </w:r>
      <w:r w:rsidRPr="006E28E9">
        <w:rPr>
          <w:rStyle w:val="FootnoteReference"/>
          <w:rFonts w:hint="cs"/>
          <w:vertAlign w:val="baseline"/>
          <w:rtl/>
        </w:rPr>
        <w:t>[</w:t>
      </w:r>
      <w:r w:rsidRPr="006E28E9">
        <w:rPr>
          <w:rStyle w:val="FootnoteReference"/>
          <w:vertAlign w:val="baseline"/>
          <w:rtl/>
        </w:rPr>
        <w:t>بسم الله الرحمن الرحيم</w:t>
      </w:r>
      <w:r w:rsidRPr="006E28E9">
        <w:rPr>
          <w:rFonts w:hint="cs"/>
          <w:rtl/>
        </w:rPr>
        <w:t>]</w:t>
      </w:r>
      <w:r w:rsidRPr="006E28E9">
        <w:rPr>
          <w:rStyle w:val="FootnoteReference"/>
          <w:rFonts w:hint="cs"/>
          <w:vertAlign w:val="baseline"/>
          <w:rtl/>
        </w:rPr>
        <w:t xml:space="preserve">. </w:t>
      </w:r>
      <w:r w:rsidRPr="006E28E9">
        <w:rPr>
          <w:rStyle w:val="FootnoteReference"/>
          <w:vertAlign w:val="baseline"/>
          <w:rtl/>
        </w:rPr>
        <w:t xml:space="preserve">الكتاب الحاضر حول النهوض المقدَّس للحسين بن علي صلوات الله وسلامه عليه الذي كُتِبَ بقلم العالم المعظَّم حجّة الإسلام الحاج الشيخ نعمت الله صالحي نجف آبادي </w:t>
      </w:r>
      <w:r w:rsidRPr="006E28E9">
        <w:rPr>
          <w:rFonts w:hint="cs"/>
          <w:rtl/>
        </w:rPr>
        <w:t xml:space="preserve">هو - بلا مبالغة - </w:t>
      </w:r>
      <w:r w:rsidRPr="006E28E9">
        <w:rPr>
          <w:rStyle w:val="FootnoteReference"/>
          <w:vertAlign w:val="baseline"/>
          <w:rtl/>
        </w:rPr>
        <w:t>كتابٌ فريدٌ لا سابق</w:t>
      </w:r>
      <w:r w:rsidRPr="006E28E9">
        <w:rPr>
          <w:rFonts w:hint="cs"/>
          <w:rtl/>
        </w:rPr>
        <w:t>ة</w:t>
      </w:r>
      <w:r w:rsidRPr="006E28E9">
        <w:rPr>
          <w:rStyle w:val="FootnoteReference"/>
          <w:vertAlign w:val="baseline"/>
          <w:rtl/>
        </w:rPr>
        <w:t xml:space="preserve"> له من نوعه. وقد قرأته بدقَّة مرَّةً و تمتَّعتُ بقراءته واستفدت منه.</w:t>
      </w:r>
      <w:r w:rsidRPr="006E28E9">
        <w:rPr>
          <w:rStyle w:val="FootnoteReference"/>
          <w:rFonts w:hint="cs"/>
          <w:vertAlign w:val="baseline"/>
          <w:rtl/>
        </w:rPr>
        <w:t>..</w:t>
      </w:r>
      <w:r w:rsidRPr="006E28E9">
        <w:rPr>
          <w:rStyle w:val="FootnoteReference"/>
          <w:rFonts w:hint="cs"/>
          <w:vertAlign w:val="baseline"/>
          <w:rtl/>
          <w:lang w:bidi="ar-SY"/>
        </w:rPr>
        <w:t>»</w:t>
      </w:r>
      <w:r w:rsidRPr="006E28E9">
        <w:rPr>
          <w:rStyle w:val="FootnoteReference"/>
          <w:rFonts w:hint="cs"/>
          <w:vertAlign w:val="baseline"/>
          <w:rtl/>
        </w:rPr>
        <w:t xml:space="preserve"> (كان هذا جزء من تقريظ آية الله المشكيني على الكتاب المذكور الذي كُتِب في الرابع من ربيع الثاني 1390 ه</w:t>
      </w:r>
      <w:r w:rsidRPr="006E28E9">
        <w:rPr>
          <w:rFonts w:hint="cs"/>
          <w:rtl/>
        </w:rPr>
        <w:t>ـ</w:t>
      </w:r>
      <w:r w:rsidRPr="006E28E9">
        <w:rPr>
          <w:rStyle w:val="FootnoteReference"/>
          <w:rFonts w:hint="cs"/>
          <w:vertAlign w:val="baseline"/>
          <w:rtl/>
        </w:rPr>
        <w:t>.ق، ويوجد سنده لدى السيد فاكر). يقول السيد طاهري خرم آبادي: لقد أحدث هذا التقريظ ضجة وأثار لغط</w:t>
      </w:r>
      <w:r w:rsidRPr="006E28E9">
        <w:rPr>
          <w:rFonts w:hint="cs"/>
          <w:rtl/>
        </w:rPr>
        <w:t>ً</w:t>
      </w:r>
      <w:r w:rsidRPr="006E28E9">
        <w:rPr>
          <w:rStyle w:val="FootnoteReference"/>
          <w:rFonts w:hint="cs"/>
          <w:vertAlign w:val="baseline"/>
          <w:rtl/>
        </w:rPr>
        <w:t>ا أكثر بكثير مما أثاره الكتاب نفسه. ويبدو أن ال</w:t>
      </w:r>
      <w:r w:rsidRPr="006E28E9">
        <w:rPr>
          <w:rFonts w:hint="cs"/>
          <w:rtl/>
        </w:rPr>
        <w:t>شيخ</w:t>
      </w:r>
      <w:r w:rsidRPr="006E28E9">
        <w:rPr>
          <w:rStyle w:val="FootnoteReference"/>
          <w:rFonts w:hint="cs"/>
          <w:vertAlign w:val="baseline"/>
          <w:rtl/>
        </w:rPr>
        <w:t xml:space="preserve"> المشكيني كتب فيما بعد نصاً قال فيه: </w:t>
      </w:r>
      <w:r w:rsidRPr="006E28E9">
        <w:rPr>
          <w:rFonts w:hint="cs"/>
          <w:rtl/>
          <w:lang w:bidi="ar-SY"/>
        </w:rPr>
        <w:t>«</w:t>
      </w:r>
      <w:r w:rsidRPr="006E28E9">
        <w:rPr>
          <w:rStyle w:val="FootnoteReference"/>
          <w:rFonts w:hint="cs"/>
          <w:vertAlign w:val="baseline"/>
          <w:rtl/>
        </w:rPr>
        <w:t>لم أقصد تأييد وجهات نظر المؤلف بل قصدت أن أُعْرِب عن أن الكتاب كتاب تحقيقي» (نقلاً عن السيد أبو ذر بيدار).</w:t>
      </w:r>
    </w:p>
  </w:footnote>
  <w:footnote w:id="38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[آية الله الكلبايكاني ف</w:t>
      </w:r>
      <w:r w:rsidRPr="006E28E9">
        <w:rPr>
          <w:rFonts w:hint="cs"/>
          <w:rtl/>
        </w:rPr>
        <w:t>ي رواية</w:t>
      </w:r>
      <w:r w:rsidRPr="006E28E9">
        <w:rPr>
          <w:rStyle w:val="FootnoteReference"/>
          <w:rFonts w:hint="cs"/>
          <w:vertAlign w:val="baseline"/>
          <w:rtl/>
        </w:rPr>
        <w:t xml:space="preserve"> وثائق السافاك]، ج 2، ص 26.</w:t>
      </w:r>
    </w:p>
  </w:footnote>
  <w:footnote w:id="383">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[أصحاب الإمام ف</w:t>
      </w:r>
      <w:r w:rsidRPr="006E28E9">
        <w:rPr>
          <w:rFonts w:hint="cs"/>
          <w:rtl/>
        </w:rPr>
        <w:t xml:space="preserve">ي </w:t>
      </w:r>
      <w:r w:rsidRPr="006E28E9">
        <w:rPr>
          <w:rStyle w:val="FootnoteReference"/>
          <w:rFonts w:hint="cs"/>
          <w:vertAlign w:val="baseline"/>
          <w:rtl/>
        </w:rPr>
        <w:t>رواية وثائق السافاك]، آية الله المشكيني، ص 189.</w:t>
      </w:r>
    </w:p>
  </w:footnote>
  <w:footnote w:id="384">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ی</w:t>
      </w:r>
      <w:r w:rsidRPr="008C7124">
        <w:rPr>
          <w:rStyle w:val="Char9"/>
          <w:rFonts w:hint="cs"/>
          <w:sz w:val="20"/>
          <w:szCs w:val="20"/>
          <w:rtl/>
        </w:rPr>
        <w:t>اران امام .... قامت استوار</w:t>
      </w:r>
      <w:r w:rsidRPr="006E28E9">
        <w:rPr>
          <w:rStyle w:val="FootnoteReference"/>
          <w:rFonts w:hint="cs"/>
          <w:vertAlign w:val="baseline"/>
          <w:rtl/>
        </w:rPr>
        <w:t xml:space="preserve"> [أصحاب الإمام... الهامة المرتفعة]، ج 2، ص 114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115، وحول اعتراضاته على هذا الكتاب انظروا: </w:t>
      </w:r>
      <w:r w:rsidRPr="008C7124">
        <w:rPr>
          <w:rStyle w:val="Char9"/>
          <w:rFonts w:hint="cs"/>
          <w:sz w:val="20"/>
          <w:szCs w:val="20"/>
          <w:rtl/>
        </w:rPr>
        <w:t>زندگى</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نامه آ</w:t>
      </w:r>
      <w:r>
        <w:rPr>
          <w:rStyle w:val="Char9"/>
          <w:rFonts w:hint="cs"/>
          <w:sz w:val="20"/>
          <w:szCs w:val="20"/>
          <w:rtl/>
        </w:rPr>
        <w:t>ی</w:t>
      </w:r>
      <w:r w:rsidRPr="008C7124">
        <w:rPr>
          <w:rStyle w:val="Char9"/>
          <w:rFonts w:hint="cs"/>
          <w:sz w:val="20"/>
          <w:szCs w:val="20"/>
          <w:rtl/>
        </w:rPr>
        <w:t>ت الله العظمى 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6E28E9">
        <w:rPr>
          <w:rStyle w:val="FootnoteReference"/>
          <w:rFonts w:hint="cs"/>
          <w:vertAlign w:val="baseline"/>
          <w:rtl/>
        </w:rPr>
        <w:t xml:space="preserve"> </w:t>
      </w:r>
      <w:r w:rsidRPr="006E28E9">
        <w:rPr>
          <w:rFonts w:hint="cs"/>
          <w:rtl/>
        </w:rPr>
        <w:t>[</w:t>
      </w:r>
      <w:r w:rsidRPr="006E28E9">
        <w:rPr>
          <w:rStyle w:val="FootnoteReference"/>
          <w:rFonts w:hint="cs"/>
          <w:vertAlign w:val="baseline"/>
          <w:rtl/>
        </w:rPr>
        <w:t>سيرة آية الله العظمة الكلبايكاني]، ص 118 - 119. وهناك وثائق عديدة أُدْرِجَت في المجلد الثالث من كتاب «</w:t>
      </w:r>
      <w:r w:rsidRPr="008C7124">
        <w:rPr>
          <w:rStyle w:val="Char9"/>
          <w:rFonts w:hint="cs"/>
          <w:sz w:val="20"/>
          <w:szCs w:val="20"/>
          <w:rtl/>
        </w:rPr>
        <w:t>آ</w:t>
      </w:r>
      <w:r>
        <w:rPr>
          <w:rStyle w:val="Char9"/>
          <w:rFonts w:hint="cs"/>
          <w:sz w:val="20"/>
          <w:szCs w:val="20"/>
          <w:rtl/>
        </w:rPr>
        <w:t>یۀ</w:t>
      </w:r>
      <w:r w:rsidRPr="008C7124">
        <w:rPr>
          <w:rStyle w:val="Char9"/>
          <w:rFonts w:hint="cs"/>
          <w:sz w:val="20"/>
          <w:szCs w:val="20"/>
          <w:rtl/>
        </w:rPr>
        <w:t xml:space="preserve"> الله 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8C7124">
        <w:rPr>
          <w:rStyle w:val="Char9"/>
          <w:rFonts w:hint="cs"/>
          <w:sz w:val="20"/>
          <w:szCs w:val="20"/>
          <w:rtl/>
        </w:rPr>
        <w:t xml:space="preserve"> بروا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[آية الله </w:t>
      </w:r>
      <w:r w:rsidRPr="006E28E9">
        <w:rPr>
          <w:rFonts w:hint="cs"/>
          <w:rtl/>
        </w:rPr>
        <w:t>ال</w:t>
      </w:r>
      <w:r w:rsidRPr="006E28E9">
        <w:rPr>
          <w:rStyle w:val="FootnoteReference"/>
          <w:rFonts w:hint="cs"/>
          <w:vertAlign w:val="baseline"/>
          <w:rtl/>
        </w:rPr>
        <w:t>كلبايكاني في رواية وثائق السافاك]، يمكنكم ا</w:t>
      </w:r>
      <w:r w:rsidRPr="006E28E9">
        <w:rPr>
          <w:rFonts w:hint="cs"/>
          <w:rtl/>
        </w:rPr>
        <w:t>لعثور</w:t>
      </w:r>
      <w:r w:rsidRPr="006E28E9">
        <w:rPr>
          <w:rStyle w:val="FootnoteReference"/>
          <w:rFonts w:hint="cs"/>
          <w:vertAlign w:val="baseline"/>
          <w:rtl/>
        </w:rPr>
        <w:t xml:space="preserve"> عليها من خلال مراجعة فهرس الأعلام في آخر ذلك الكتاب.</w:t>
      </w:r>
    </w:p>
  </w:footnote>
  <w:footnote w:id="385">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سرگذشت شه</w:t>
      </w:r>
      <w:r>
        <w:rPr>
          <w:rStyle w:val="Char9"/>
          <w:rFonts w:hint="cs"/>
          <w:sz w:val="20"/>
          <w:szCs w:val="20"/>
          <w:rtl/>
        </w:rPr>
        <w:t>ی</w:t>
      </w:r>
      <w:r w:rsidRPr="008C7124">
        <w:rPr>
          <w:rStyle w:val="Char9"/>
          <w:rFonts w:hint="cs"/>
          <w:sz w:val="20"/>
          <w:szCs w:val="20"/>
          <w:rtl/>
        </w:rPr>
        <w:t>د جاو</w:t>
      </w:r>
      <w:r>
        <w:rPr>
          <w:rStyle w:val="Char9"/>
          <w:rFonts w:hint="cs"/>
          <w:sz w:val="20"/>
          <w:szCs w:val="20"/>
          <w:rtl/>
        </w:rPr>
        <w:t>ی</w:t>
      </w:r>
      <w:r w:rsidRPr="008C7124">
        <w:rPr>
          <w:rStyle w:val="Char9"/>
          <w:rFonts w:hint="cs"/>
          <w:sz w:val="20"/>
          <w:szCs w:val="20"/>
          <w:rtl/>
        </w:rPr>
        <w:t>د</w:t>
      </w:r>
      <w:r w:rsidRPr="006E28E9">
        <w:rPr>
          <w:rStyle w:val="FootnoteReference"/>
          <w:rFonts w:hint="cs"/>
          <w:vertAlign w:val="baseline"/>
          <w:rtl/>
        </w:rPr>
        <w:t xml:space="preserve">، [قصة كتاب الشهيد الخالد]، ص 191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192.</w:t>
      </w:r>
    </w:p>
  </w:footnote>
  <w:footnote w:id="38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يبدو أنه يشير إلى </w:t>
      </w:r>
      <w:r w:rsidRPr="006E28E9">
        <w:rPr>
          <w:rStyle w:val="FootnoteReference"/>
          <w:rFonts w:hint="cs"/>
          <w:vertAlign w:val="baseline"/>
          <w:rtl/>
        </w:rPr>
        <w:t xml:space="preserve">آية الله لطف الله صافي </w:t>
      </w:r>
      <w:r w:rsidRPr="006E28E9">
        <w:rPr>
          <w:rFonts w:hint="cs"/>
          <w:rtl/>
        </w:rPr>
        <w:t>ال</w:t>
      </w:r>
      <w:r w:rsidRPr="006E28E9">
        <w:rPr>
          <w:rStyle w:val="FootnoteReference"/>
          <w:rFonts w:hint="cs"/>
          <w:vertAlign w:val="baseline"/>
          <w:rtl/>
        </w:rPr>
        <w:t>ك</w:t>
      </w:r>
      <w:r w:rsidRPr="006E28E9">
        <w:rPr>
          <w:rFonts w:hint="cs"/>
          <w:rtl/>
        </w:rPr>
        <w:t>لبايكاني</w:t>
      </w:r>
      <w:r w:rsidRPr="006E28E9">
        <w:rPr>
          <w:rStyle w:val="FootnoteReference"/>
          <w:rFonts w:hint="cs"/>
          <w:vertAlign w:val="baseline"/>
          <w:rtl/>
        </w:rPr>
        <w:t xml:space="preserve">: عالم دين ومرجع شيعي إيراني معاصر، وهو حاليًّا أحد أعضاء مجلس المحافظة على الدستور. (المُتَرْجِمُ) </w:t>
      </w:r>
    </w:p>
  </w:footnote>
  <w:footnote w:id="387">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زندگى</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نامه آ</w:t>
      </w:r>
      <w:r>
        <w:rPr>
          <w:rStyle w:val="Char9"/>
          <w:rFonts w:hint="cs"/>
          <w:sz w:val="20"/>
          <w:szCs w:val="20"/>
          <w:rtl/>
        </w:rPr>
        <w:t>ی</w:t>
      </w:r>
      <w:r w:rsidRPr="008C7124">
        <w:rPr>
          <w:rStyle w:val="Char9"/>
          <w:rFonts w:hint="cs"/>
          <w:sz w:val="20"/>
          <w:szCs w:val="20"/>
          <w:rtl/>
        </w:rPr>
        <w:t>ت الله العظمى 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6E28E9">
        <w:rPr>
          <w:rStyle w:val="FootnoteReference"/>
          <w:rFonts w:hint="cs"/>
          <w:vertAlign w:val="baseline"/>
          <w:rtl/>
        </w:rPr>
        <w:t xml:space="preserve"> [سيرة آية الله العظمى الكلبايكاني]، ص 120 </w:t>
      </w:r>
      <w:r w:rsidRPr="006E28E9">
        <w:rPr>
          <w:rStyle w:val="FootnoteReference"/>
          <w:rFonts w:ascii="Times New Roman" w:hAnsi="Times New Roman" w:cs="Times New Roman" w:hint="cs"/>
          <w:vertAlign w:val="baseline"/>
          <w:rtl/>
        </w:rPr>
        <w:t>–</w:t>
      </w:r>
      <w:r w:rsidRPr="006E28E9">
        <w:rPr>
          <w:rStyle w:val="FootnoteReference"/>
          <w:rFonts w:hint="cs"/>
          <w:vertAlign w:val="baseline"/>
          <w:rtl/>
        </w:rPr>
        <w:t xml:space="preserve"> 121، 408.</w:t>
      </w:r>
    </w:p>
  </w:footnote>
  <w:footnote w:id="38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بيّن آية الله أحمد ميانجي نموذجاً لبعض هذه المواجهات الحادة </w:t>
      </w:r>
      <w:r w:rsidRPr="006E28E9">
        <w:rPr>
          <w:rFonts w:hint="cs"/>
          <w:rtl/>
        </w:rPr>
        <w:t xml:space="preserve">التي كان يتعرض لها </w:t>
      </w:r>
      <w:r w:rsidRPr="006E28E9">
        <w:rPr>
          <w:rStyle w:val="FootnoteReference"/>
          <w:rFonts w:hint="cs"/>
          <w:vertAlign w:val="baseline"/>
          <w:rtl/>
        </w:rPr>
        <w:t>مؤيدو كتاب شهيد جاويد</w:t>
      </w:r>
      <w:r w:rsidRPr="006E28E9">
        <w:rPr>
          <w:rFonts w:hint="cs"/>
          <w:rtl/>
        </w:rPr>
        <w:t xml:space="preserve"> </w:t>
      </w:r>
      <w:r w:rsidRPr="006E28E9">
        <w:rPr>
          <w:rFonts w:hint="cs"/>
          <w:rtl/>
          <w:lang w:bidi="ar-SY"/>
        </w:rPr>
        <w:t>مِنْ قِبَلِ مُعَارضي الكتاب</w:t>
      </w:r>
      <w:r w:rsidRPr="006E28E9">
        <w:rPr>
          <w:rStyle w:val="FootnoteReference"/>
          <w:rFonts w:hint="cs"/>
          <w:vertAlign w:val="baseline"/>
          <w:rtl/>
        </w:rPr>
        <w:t xml:space="preserve">. انظروا: </w:t>
      </w:r>
      <w:r w:rsidRPr="008C7124">
        <w:rPr>
          <w:rStyle w:val="Char9"/>
          <w:rFonts w:hint="cs"/>
          <w:sz w:val="20"/>
          <w:szCs w:val="20"/>
          <w:rtl/>
        </w:rPr>
        <w:t>المذ</w:t>
      </w:r>
      <w:r>
        <w:rPr>
          <w:rStyle w:val="Char9"/>
          <w:rFonts w:hint="cs"/>
          <w:sz w:val="20"/>
          <w:szCs w:val="20"/>
          <w:rtl/>
        </w:rPr>
        <w:t>ک</w:t>
      </w:r>
      <w:r w:rsidRPr="008C7124">
        <w:rPr>
          <w:rStyle w:val="Char9"/>
          <w:rFonts w:hint="cs"/>
          <w:sz w:val="20"/>
          <w:szCs w:val="20"/>
          <w:rtl/>
        </w:rPr>
        <w:t>رات</w:t>
      </w:r>
      <w:r w:rsidRPr="006E28E9">
        <w:rPr>
          <w:rStyle w:val="FootnoteReference"/>
          <w:rFonts w:hint="cs"/>
          <w:vertAlign w:val="baseline"/>
          <w:rtl/>
        </w:rPr>
        <w:t>، ص 241 - 242.</w:t>
      </w:r>
    </w:p>
  </w:footnote>
  <w:footnote w:id="38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مسجد هدا</w:t>
      </w:r>
      <w:r>
        <w:rPr>
          <w:rStyle w:val="Char9"/>
          <w:rFonts w:hint="cs"/>
          <w:sz w:val="20"/>
          <w:szCs w:val="20"/>
          <w:rtl/>
        </w:rPr>
        <w:t>ی</w:t>
      </w:r>
      <w:r w:rsidRPr="008C7124">
        <w:rPr>
          <w:rStyle w:val="Char9"/>
          <w:rFonts w:hint="cs"/>
          <w:sz w:val="20"/>
          <w:szCs w:val="20"/>
          <w:rtl/>
        </w:rPr>
        <w:t>ت</w:t>
      </w:r>
      <w:r w:rsidRPr="006E28E9">
        <w:rPr>
          <w:rStyle w:val="FootnoteReference"/>
          <w:rFonts w:hint="cs"/>
          <w:vertAlign w:val="baseline"/>
          <w:rtl/>
        </w:rPr>
        <w:t>، ج 2، ص 244.</w:t>
      </w:r>
    </w:p>
  </w:footnote>
  <w:footnote w:id="390">
    <w:p w:rsidR="008C7124" w:rsidRPr="006E28E9" w:rsidRDefault="008C7124" w:rsidP="0092648A">
      <w:pPr>
        <w:pStyle w:val="FootnoteText"/>
        <w:rPr>
          <w:rStyle w:val="FootnoteReference"/>
          <w:vertAlign w:val="baseline"/>
          <w:rtl/>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لقد أشرنا مراراً في هذا الكتاب أنه بعد الثورة الدستورية تحوّلت قصة كربلاء وتحليلها إلى حد ما وبعبارة أخرى تسيَّسَت هذه القصة إلى حد ما. كل تحليل كان يُكْتَب في هذا المجال كان يُبنى على أن الإمام الحسين </w:t>
      </w:r>
      <w:r w:rsidRPr="00924380">
        <w:rPr>
          <w:rFonts w:cs="CTraditional Arabic" w:hint="cs"/>
          <w:rtl/>
        </w:rPr>
        <w:t>÷</w:t>
      </w:r>
      <w:r w:rsidRPr="006E28E9">
        <w:rPr>
          <w:rFonts w:hint="cs"/>
          <w:rtl/>
        </w:rPr>
        <w:t xml:space="preserve"> كان ينوي محاربة الظلم والنضال ضد جهاز الملك المتجبِّر الجائر. وخلال ذلك البحث كان يرد الكلام عن الحكومة الإسلامية المثالية وتحققها، ولكن الحديث بصراحة عن هذا الأمر وبالتزامن معه الحديث عن مسألة الحصول على الحكومة وتلازم ذلك مع عدم اطلاع الإمام ومعرفته بشهادته كان أمراً جديداً. من وجهة نظر صالحي كان هذان الأمران بمثابة لازم وملزوم، ولكن الذي أثار الاعتراضات هو الأمر الثاني لا الأول. ونضيف على ذلك أن الكتابات التي أُلِّفَت حول الإمام الحسين </w:t>
      </w:r>
      <w:r w:rsidRPr="00924380">
        <w:rPr>
          <w:rFonts w:cs="CTraditional Arabic" w:hint="cs"/>
          <w:rtl/>
        </w:rPr>
        <w:t>÷</w:t>
      </w:r>
      <w:r w:rsidRPr="006E28E9">
        <w:rPr>
          <w:rFonts w:hint="cs"/>
          <w:rtl/>
        </w:rPr>
        <w:t xml:space="preserve"> قبل هذا التاريخ، ربما ذُكِر أول مرة فقط أن «الحسين </w:t>
      </w:r>
      <w:r w:rsidRPr="00924380">
        <w:rPr>
          <w:rFonts w:cs="CTraditional Arabic" w:hint="cs"/>
          <w:rtl/>
        </w:rPr>
        <w:t>÷</w:t>
      </w:r>
      <w:r w:rsidRPr="006E28E9">
        <w:rPr>
          <w:rFonts w:hint="cs"/>
          <w:rtl/>
        </w:rPr>
        <w:t xml:space="preserve"> لم يكن يرمي إلى إنشاء حكومة واستلام زمام الحكم» وذلك في كتاب </w:t>
      </w:r>
      <w:r w:rsidRPr="006E28E9">
        <w:rPr>
          <w:rFonts w:hint="cs"/>
          <w:b/>
          <w:bCs/>
          <w:rtl/>
        </w:rPr>
        <w:t>تجلي حقيقت در اسرار كربلا</w:t>
      </w:r>
      <w:r w:rsidRPr="006E28E9">
        <w:rPr>
          <w:rFonts w:hint="cs"/>
          <w:rtl/>
        </w:rPr>
        <w:t xml:space="preserve"> [تجلي الحقيقة في أسرار كربلاء] </w:t>
      </w:r>
      <w:r w:rsidRPr="006E28E9">
        <w:rPr>
          <w:rFonts w:hint="cs"/>
          <w:rtl/>
          <w:lang w:bidi="ar-SY"/>
        </w:rPr>
        <w:t>الذي ألفه</w:t>
      </w:r>
      <w:r w:rsidRPr="006E28E9">
        <w:rPr>
          <w:rStyle w:val="FootnoteReference"/>
          <w:rFonts w:hint="cs"/>
          <w:vertAlign w:val="baseline"/>
          <w:rtl/>
          <w:lang w:bidi="ar-SY"/>
        </w:rPr>
        <w:t xml:space="preserve"> سلطان حسين تابنده گ</w:t>
      </w:r>
      <w:r w:rsidRPr="006E28E9">
        <w:rPr>
          <w:rFonts w:hint="cs"/>
          <w:rtl/>
          <w:lang w:bidi="ar-SY"/>
        </w:rPr>
        <w:t>نابادى سنة 1319 هـ.ش. (</w:t>
      </w:r>
      <w:r w:rsidRPr="008C7124">
        <w:rPr>
          <w:rStyle w:val="Char9"/>
          <w:rFonts w:hint="cs"/>
          <w:sz w:val="20"/>
          <w:szCs w:val="20"/>
          <w:rtl/>
        </w:rPr>
        <w:t>تجلى حق</w:t>
      </w:r>
      <w:r>
        <w:rPr>
          <w:rStyle w:val="Char9"/>
          <w:rFonts w:hint="cs"/>
          <w:sz w:val="20"/>
          <w:szCs w:val="20"/>
          <w:rtl/>
        </w:rPr>
        <w:t>ی</w:t>
      </w:r>
      <w:r w:rsidRPr="008C7124">
        <w:rPr>
          <w:rStyle w:val="Char9"/>
          <w:rFonts w:hint="cs"/>
          <w:sz w:val="20"/>
          <w:szCs w:val="20"/>
          <w:rtl/>
        </w:rPr>
        <w:t xml:space="preserve">قت در اسرار </w:t>
      </w:r>
      <w:r>
        <w:rPr>
          <w:rStyle w:val="Char9"/>
          <w:rFonts w:hint="cs"/>
          <w:sz w:val="20"/>
          <w:szCs w:val="20"/>
          <w:rtl/>
        </w:rPr>
        <w:t>ک</w:t>
      </w:r>
      <w:r w:rsidRPr="008C7124">
        <w:rPr>
          <w:rStyle w:val="Char9"/>
          <w:rFonts w:hint="cs"/>
          <w:sz w:val="20"/>
          <w:szCs w:val="20"/>
          <w:rtl/>
        </w:rPr>
        <w:t>ربلا</w:t>
      </w:r>
      <w:r w:rsidRPr="006E28E9">
        <w:rPr>
          <w:rFonts w:hint="cs"/>
          <w:rtl/>
          <w:lang w:bidi="ar-SY"/>
        </w:rPr>
        <w:t>، طهران، المكتبة والمطبعة المركزية، 1319 هـ.ش، ص 103 - 104). ومن الواضح أن هذه النظرية تتسق مع النظرة الصوفية. [يُشار إلى أن سلطان حسين تابنده گنابادى كان شيخ طريقة أحد أهم الطرق الصوفية الشيعية المغالية في إيران وهي الطريقة النعمة اللهية الكنابادية (المُتَرْجِمُ)].</w:t>
      </w:r>
    </w:p>
  </w:footnote>
  <w:footnote w:id="39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rPr>
        <w:t xml:space="preserve"> </w:t>
      </w:r>
      <w:r w:rsidRPr="006E28E9">
        <w:rPr>
          <w:rStyle w:val="FootnoteReference"/>
          <w:rFonts w:hint="cs"/>
          <w:vertAlign w:val="baseline"/>
          <w:rtl/>
        </w:rPr>
        <w:t xml:space="preserve">[آية الله </w:t>
      </w:r>
      <w:r w:rsidRPr="006E28E9">
        <w:rPr>
          <w:rFonts w:hint="cs"/>
          <w:rtl/>
        </w:rPr>
        <w:t>ال</w:t>
      </w:r>
      <w:r w:rsidRPr="006E28E9">
        <w:rPr>
          <w:rStyle w:val="FootnoteReference"/>
          <w:rFonts w:hint="cs"/>
          <w:vertAlign w:val="baseline"/>
          <w:rtl/>
        </w:rPr>
        <w:t>كلبايكاني في رواية وثائق السافاك]، ج 3، ص 22.</w:t>
      </w:r>
    </w:p>
  </w:footnote>
  <w:footnote w:id="39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rPr>
        <w:t xml:space="preserve"> </w:t>
      </w:r>
      <w:r w:rsidRPr="006E28E9">
        <w:rPr>
          <w:rStyle w:val="FootnoteReference"/>
          <w:rFonts w:hint="cs"/>
          <w:vertAlign w:val="baseline"/>
          <w:rtl/>
        </w:rPr>
        <w:t xml:space="preserve">[آية الله </w:t>
      </w:r>
      <w:r w:rsidRPr="006E28E9">
        <w:rPr>
          <w:rFonts w:hint="cs"/>
          <w:rtl/>
        </w:rPr>
        <w:t>ال</w:t>
      </w:r>
      <w:r w:rsidRPr="006E28E9">
        <w:rPr>
          <w:rStyle w:val="FootnoteReference"/>
          <w:rFonts w:hint="cs"/>
          <w:vertAlign w:val="baseline"/>
          <w:rtl/>
        </w:rPr>
        <w:t>كلبايكاني في رواية وثائق السافاك]، ج 3، ص 2</w:t>
      </w:r>
      <w:r w:rsidRPr="006E28E9">
        <w:rPr>
          <w:rFonts w:hint="cs"/>
          <w:rtl/>
        </w:rPr>
        <w:t>04 - 205. وانظروا إلى تقرير آخر عن «المجموعة الضاربة» في المصدر ذاته في الصفحات 209 - 212. وهو تقرير عجيب يتضمن أن السيد علي خاني انطلاقاً من قدوم بعض الأراذل والأوباش المجرمين في إحدى الليالي إلى منزله كي يقتلوه (ويعود أصل هذه القضية إلى مشاجرة وقعت بين المجموعة الضاربة وعالم دين يُدْعى «باستاني»، كان صديقاً للسيد الكلبايكاني، وكانت تلك القضايا تتعلق به ولكنهم رموا السيد الكلبايكاني بها، كما نقل لي السيد باقر الكلبايكاني في منزله في 12/دي/1389 هـ.ش)، فنسب السيد علي خاني هذه المحاولة إلى السيد مهدي الكلبايكاني وعلى هذا الأساس طلب من آية الله الكلبايكاني أن يطرد السيد مهدي من الحوزة العلمية. وقال المعترضون في تلك الجلسة لآية الله الكلبايكاني: إن الذي يقف وراء نفي مدرسي قم من المدينة هو السيد مهدي الكلبايكاني وما قام به من تحريك ضدهم. وهو أمر نفاه آية الله الكلبايكاني بشدة واعتبر ذلك من الشائعات التي كان نظام الشاه يعمل على إشاعتها. وكانت القضية تماثل تمامًا أن يقوم حزب البعث بنفي العلماء من العراق ولكن الدولة تنشر دعايات تُوهِمُ فيها بأن آية الله الخوئي هو الذي كان وراء ذلك الإبعاد والمحرض عليه. قال الحاج السيد الكلبايكاني لي: إن هذه الجماعة جاءت إلى منزل السيد مرتين. المرة الأولى كانوا مجموعة لم يكن علي خاني بينهم وكانت المجموعة تضم الدكتور هادي وموسوي خوئيني</w:t>
      </w:r>
      <w:r w:rsidRPr="006E28E9">
        <w:rPr>
          <w:rFonts w:ascii="Times New Roman" w:hAnsi="Times New Roman" w:cs="Times New Roman" w:hint="cs"/>
          <w:rtl/>
        </w:rPr>
        <w:t>‌</w:t>
      </w:r>
      <w:r w:rsidRPr="006E28E9">
        <w:rPr>
          <w:rFonts w:ascii="mylotus" w:hAnsi="mylotus" w:hint="cs"/>
          <w:rtl/>
        </w:rPr>
        <w:t>ها</w:t>
      </w:r>
      <w:r w:rsidRPr="006E28E9">
        <w:rPr>
          <w:rFonts w:hint="cs"/>
          <w:rtl/>
        </w:rPr>
        <w:t xml:space="preserve"> </w:t>
      </w:r>
      <w:r w:rsidRPr="006E28E9">
        <w:rPr>
          <w:rFonts w:ascii="mylotus" w:hAnsi="mylotus" w:hint="cs"/>
          <w:rtl/>
        </w:rPr>
        <w:t>وموسوي</w:t>
      </w:r>
      <w:r w:rsidRPr="006E28E9">
        <w:rPr>
          <w:rFonts w:hint="cs"/>
          <w:rtl/>
        </w:rPr>
        <w:t xml:space="preserve"> </w:t>
      </w:r>
      <w:r w:rsidRPr="006E28E9">
        <w:rPr>
          <w:rFonts w:ascii="mylotus" w:hAnsi="mylotus" w:hint="cs"/>
          <w:rtl/>
        </w:rPr>
        <w:t>التبريزي</w:t>
      </w:r>
      <w:r w:rsidRPr="006E28E9">
        <w:rPr>
          <w:rFonts w:hint="cs"/>
          <w:rtl/>
        </w:rPr>
        <w:t xml:space="preserve"> </w:t>
      </w:r>
      <w:r w:rsidRPr="006E28E9">
        <w:rPr>
          <w:rFonts w:ascii="mylotus" w:hAnsi="mylotus" w:hint="cs"/>
          <w:rtl/>
        </w:rPr>
        <w:t>وعددًا</w:t>
      </w:r>
      <w:r w:rsidRPr="006E28E9">
        <w:rPr>
          <w:rFonts w:hint="cs"/>
          <w:rtl/>
        </w:rPr>
        <w:t xml:space="preserve"> </w:t>
      </w:r>
      <w:r w:rsidRPr="006E28E9">
        <w:rPr>
          <w:rFonts w:ascii="mylotus" w:hAnsi="mylotus" w:hint="cs"/>
          <w:rtl/>
        </w:rPr>
        <w:t>آخرَ</w:t>
      </w:r>
      <w:r w:rsidRPr="006E28E9">
        <w:rPr>
          <w:rFonts w:hint="cs"/>
          <w:rtl/>
        </w:rPr>
        <w:t xml:space="preserve"> </w:t>
      </w:r>
      <w:r w:rsidRPr="006E28E9">
        <w:rPr>
          <w:rFonts w:ascii="mylotus" w:hAnsi="mylotus" w:hint="cs"/>
          <w:rtl/>
        </w:rPr>
        <w:t>من</w:t>
      </w:r>
      <w:r w:rsidRPr="006E28E9">
        <w:rPr>
          <w:rFonts w:hint="cs"/>
          <w:rtl/>
        </w:rPr>
        <w:t xml:space="preserve"> </w:t>
      </w:r>
      <w:r w:rsidRPr="006E28E9">
        <w:rPr>
          <w:rFonts w:ascii="mylotus" w:hAnsi="mylotus" w:hint="cs"/>
          <w:rtl/>
        </w:rPr>
        <w:t>الأفراد</w:t>
      </w:r>
      <w:r w:rsidRPr="006E28E9">
        <w:rPr>
          <w:rFonts w:hint="cs"/>
          <w:rtl/>
        </w:rPr>
        <w:t xml:space="preserve"> </w:t>
      </w:r>
      <w:r w:rsidRPr="006E28E9">
        <w:rPr>
          <w:rFonts w:ascii="mylotus" w:hAnsi="mylotus" w:hint="cs"/>
          <w:rtl/>
        </w:rPr>
        <w:t>ممن</w:t>
      </w:r>
      <w:r w:rsidRPr="006E28E9">
        <w:rPr>
          <w:rFonts w:hint="cs"/>
          <w:rtl/>
        </w:rPr>
        <w:t xml:space="preserve"> </w:t>
      </w:r>
      <w:r w:rsidRPr="006E28E9">
        <w:rPr>
          <w:rFonts w:ascii="mylotus" w:hAnsi="mylotus" w:hint="cs"/>
          <w:rtl/>
        </w:rPr>
        <w:t>كان</w:t>
      </w:r>
      <w:r w:rsidRPr="006E28E9">
        <w:rPr>
          <w:rFonts w:hint="cs"/>
          <w:rtl/>
        </w:rPr>
        <w:t xml:space="preserve"> </w:t>
      </w:r>
      <w:r w:rsidRPr="006E28E9">
        <w:rPr>
          <w:rFonts w:ascii="mylotus" w:hAnsi="mylotus" w:hint="cs"/>
          <w:rtl/>
        </w:rPr>
        <w:t>يؤيد</w:t>
      </w:r>
      <w:r w:rsidRPr="006E28E9">
        <w:rPr>
          <w:rFonts w:hint="cs"/>
          <w:rtl/>
        </w:rPr>
        <w:t xml:space="preserve"> </w:t>
      </w:r>
      <w:r w:rsidRPr="006E28E9">
        <w:rPr>
          <w:rFonts w:ascii="mylotus" w:hAnsi="mylotus" w:hint="cs"/>
          <w:rtl/>
        </w:rPr>
        <w:t>كتاب</w:t>
      </w:r>
      <w:r w:rsidRPr="006E28E9">
        <w:rPr>
          <w:rFonts w:hint="cs"/>
          <w:rtl/>
        </w:rPr>
        <w:t xml:space="preserve"> </w:t>
      </w:r>
      <w:r w:rsidRPr="006E28E9">
        <w:rPr>
          <w:rFonts w:ascii="mylotus" w:hAnsi="mylotus" w:hint="cs"/>
          <w:rtl/>
        </w:rPr>
        <w:t>الشهيد</w:t>
      </w:r>
      <w:r w:rsidRPr="006E28E9">
        <w:rPr>
          <w:rFonts w:hint="cs"/>
          <w:rtl/>
        </w:rPr>
        <w:t xml:space="preserve"> </w:t>
      </w:r>
      <w:r w:rsidRPr="006E28E9">
        <w:rPr>
          <w:rFonts w:ascii="mylotus" w:hAnsi="mylotus" w:hint="cs"/>
          <w:rtl/>
        </w:rPr>
        <w:t>الخالد</w:t>
      </w:r>
      <w:r w:rsidRPr="006E28E9">
        <w:rPr>
          <w:rFonts w:hint="cs"/>
          <w:rtl/>
        </w:rPr>
        <w:t xml:space="preserve">. </w:t>
      </w:r>
      <w:r w:rsidRPr="006E28E9">
        <w:rPr>
          <w:rFonts w:ascii="mylotus" w:hAnsi="mylotus" w:hint="cs"/>
          <w:rtl/>
        </w:rPr>
        <w:t>وكان</w:t>
      </w:r>
      <w:r w:rsidRPr="006E28E9">
        <w:rPr>
          <w:rFonts w:hint="cs"/>
          <w:rtl/>
        </w:rPr>
        <w:t xml:space="preserve"> </w:t>
      </w:r>
      <w:r w:rsidRPr="006E28E9">
        <w:rPr>
          <w:rFonts w:ascii="mylotus" w:hAnsi="mylotus" w:hint="cs"/>
          <w:rtl/>
        </w:rPr>
        <w:t>الخطيب</w:t>
      </w:r>
      <w:r w:rsidRPr="006E28E9">
        <w:rPr>
          <w:rFonts w:hint="cs"/>
          <w:rtl/>
        </w:rPr>
        <w:t xml:space="preserve"> </w:t>
      </w:r>
      <w:r w:rsidRPr="006E28E9">
        <w:rPr>
          <w:rFonts w:ascii="mylotus" w:hAnsi="mylotus" w:hint="cs"/>
          <w:rtl/>
        </w:rPr>
        <w:t>المتكلم</w:t>
      </w:r>
      <w:r w:rsidRPr="006E28E9">
        <w:rPr>
          <w:rFonts w:hint="cs"/>
          <w:rtl/>
        </w:rPr>
        <w:t xml:space="preserve"> </w:t>
      </w:r>
      <w:r w:rsidRPr="006E28E9">
        <w:rPr>
          <w:rFonts w:ascii="mylotus" w:hAnsi="mylotus" w:hint="cs"/>
          <w:rtl/>
        </w:rPr>
        <w:t>عن</w:t>
      </w:r>
      <w:r w:rsidRPr="006E28E9">
        <w:rPr>
          <w:rFonts w:hint="cs"/>
          <w:rtl/>
        </w:rPr>
        <w:t xml:space="preserve"> </w:t>
      </w:r>
      <w:r w:rsidRPr="006E28E9">
        <w:rPr>
          <w:rFonts w:ascii="mylotus" w:hAnsi="mylotus" w:hint="cs"/>
          <w:rtl/>
        </w:rPr>
        <w:t>الوفد</w:t>
      </w:r>
      <w:r w:rsidRPr="006E28E9">
        <w:rPr>
          <w:rFonts w:hint="cs"/>
          <w:rtl/>
        </w:rPr>
        <w:t xml:space="preserve"> </w:t>
      </w:r>
      <w:r w:rsidRPr="006E28E9">
        <w:rPr>
          <w:rFonts w:ascii="mylotus" w:hAnsi="mylotus" w:hint="cs"/>
          <w:rtl/>
        </w:rPr>
        <w:t>هو</w:t>
      </w:r>
      <w:r w:rsidRPr="006E28E9">
        <w:rPr>
          <w:rFonts w:hint="cs"/>
          <w:rtl/>
        </w:rPr>
        <w:t xml:space="preserve"> </w:t>
      </w:r>
      <w:r w:rsidRPr="006E28E9">
        <w:rPr>
          <w:rFonts w:ascii="mylotus" w:hAnsi="mylotus" w:hint="cs"/>
          <w:rtl/>
        </w:rPr>
        <w:t>السيد</w:t>
      </w:r>
      <w:r w:rsidRPr="006E28E9">
        <w:rPr>
          <w:rFonts w:hint="cs"/>
          <w:rtl/>
        </w:rPr>
        <w:t xml:space="preserve"> </w:t>
      </w:r>
      <w:r w:rsidRPr="006E28E9">
        <w:rPr>
          <w:rFonts w:ascii="mylotus" w:hAnsi="mylotus" w:hint="cs"/>
          <w:rtl/>
        </w:rPr>
        <w:t>هادي،</w:t>
      </w:r>
      <w:r w:rsidRPr="006E28E9">
        <w:rPr>
          <w:rFonts w:hint="cs"/>
          <w:rtl/>
        </w:rPr>
        <w:t xml:space="preserve"> </w:t>
      </w:r>
      <w:r w:rsidRPr="006E28E9">
        <w:rPr>
          <w:rFonts w:ascii="mylotus" w:hAnsi="mylotus" w:hint="cs"/>
          <w:rtl/>
        </w:rPr>
        <w:t>وأكد</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كلامه</w:t>
      </w:r>
      <w:r w:rsidRPr="006E28E9">
        <w:rPr>
          <w:rFonts w:hint="cs"/>
          <w:rtl/>
        </w:rPr>
        <w:t xml:space="preserve"> </w:t>
      </w:r>
      <w:r w:rsidRPr="006E28E9">
        <w:rPr>
          <w:rFonts w:ascii="mylotus" w:hAnsi="mylotus" w:hint="cs"/>
          <w:rtl/>
        </w:rPr>
        <w:t>على</w:t>
      </w:r>
      <w:r w:rsidRPr="006E28E9">
        <w:rPr>
          <w:rFonts w:hint="cs"/>
          <w:rtl/>
        </w:rPr>
        <w:t xml:space="preserve"> </w:t>
      </w:r>
      <w:r w:rsidRPr="006E28E9">
        <w:rPr>
          <w:rFonts w:ascii="mylotus" w:hAnsi="mylotus" w:hint="cs"/>
          <w:rtl/>
        </w:rPr>
        <w:t>عدم</w:t>
      </w:r>
      <w:r w:rsidRPr="006E28E9">
        <w:rPr>
          <w:rFonts w:hint="cs"/>
          <w:rtl/>
        </w:rPr>
        <w:t xml:space="preserve"> </w:t>
      </w:r>
      <w:r w:rsidRPr="006E28E9">
        <w:rPr>
          <w:rFonts w:ascii="mylotus" w:hAnsi="mylotus" w:hint="cs"/>
          <w:rtl/>
        </w:rPr>
        <w:t>أهلية</w:t>
      </w:r>
      <w:r w:rsidRPr="006E28E9">
        <w:rPr>
          <w:rFonts w:hint="cs"/>
          <w:rtl/>
        </w:rPr>
        <w:t xml:space="preserve"> السيد مهدي والسيد محمود والسيد جعفر (أبناء السادة الكلبايكاني والمرعشي النجفي والخوانساري)، والمرة الثانية كانوا جماعة من بينهم محمد رضوي وجماعة من الأشخاص من بينهم علي خاني. في البداية تكلم السيد درجئي وأشار إلى الدور الذي لعبه السيد مهدي في نفي وإبعاد السادة المنتظري والمشكيني (والظاهر أن جهاز السافاك هو الذي أوهمهم بعلاقة السيد مهدي الكلبايكاني بهذا الأمر) . بعد ذلك ألقى الشيخ حسن إبراهيمي كلمة حادة شديدة. خلال ذلك كان آية الله الكلبايكاني جالساً يستمع! كانت الفترة الزمنية الفاصلة بين هاتين المرتين اللتين جاء الطلاب فيهما إلى منزله، عدة سنوات. في المرة الأولى أشار آية الله الكلبايكاني في اليوم التالي في درسه ألا يقوم أحد بالتعرض إلى أولئك الأفراد وأن يتم الحفاظ على الهدوء في الحوزة. وفي هذا المجال سعى جهاز السافاك إلى استغلال هذه الأمور لصالح النظام.</w:t>
      </w:r>
    </w:p>
  </w:footnote>
  <w:footnote w:id="39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طاهرى خرم آبادى</w:t>
      </w:r>
      <w:r w:rsidRPr="006E28E9">
        <w:rPr>
          <w:rFonts w:hint="cs"/>
          <w:rtl/>
        </w:rPr>
        <w:t xml:space="preserve"> [مذكَّرات آية الله طاهري الخرم آبادي]</w:t>
      </w:r>
      <w:r w:rsidRPr="006E28E9">
        <w:rPr>
          <w:rStyle w:val="FootnoteReference"/>
          <w:rFonts w:hint="cs"/>
          <w:vertAlign w:val="baseline"/>
          <w:rtl/>
        </w:rPr>
        <w:t>، ص 99.</w:t>
      </w:r>
    </w:p>
  </w:footnote>
  <w:footnote w:id="39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100.</w:t>
      </w:r>
    </w:p>
  </w:footnote>
  <w:footnote w:id="39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8C7124">
        <w:rPr>
          <w:rStyle w:val="Char9"/>
          <w:rFonts w:hint="cs"/>
          <w:sz w:val="20"/>
          <w:szCs w:val="20"/>
          <w:rtl/>
        </w:rPr>
        <w:t xml:space="preserve"> </w:t>
      </w:r>
      <w:r w:rsidRPr="006E28E9">
        <w:rPr>
          <w:rFonts w:hint="cs"/>
          <w:rtl/>
        </w:rPr>
        <w:t>[أصحاب الإمام في وثائق السافاك]</w:t>
      </w:r>
      <w:r w:rsidRPr="006E28E9">
        <w:rPr>
          <w:rStyle w:val="FootnoteReference"/>
          <w:rFonts w:hint="cs"/>
          <w:vertAlign w:val="baseline"/>
          <w:rtl/>
        </w:rPr>
        <w:t>، آيت الله المشكيني، ص 370 - 371.</w:t>
      </w:r>
    </w:p>
  </w:footnote>
  <w:footnote w:id="396">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rPr>
        <w:t xml:space="preserve"> </w:t>
      </w:r>
      <w:r w:rsidRPr="006E28E9">
        <w:rPr>
          <w:rStyle w:val="FootnoteReference"/>
          <w:rFonts w:hint="cs"/>
          <w:vertAlign w:val="baseline"/>
          <w:rtl/>
        </w:rPr>
        <w:t xml:space="preserve">[آية الله </w:t>
      </w:r>
      <w:r w:rsidRPr="006E28E9">
        <w:rPr>
          <w:rFonts w:hint="cs"/>
          <w:rtl/>
        </w:rPr>
        <w:t>ال</w:t>
      </w:r>
      <w:r w:rsidRPr="006E28E9">
        <w:rPr>
          <w:rStyle w:val="FootnoteReference"/>
          <w:rFonts w:hint="cs"/>
          <w:vertAlign w:val="baseline"/>
          <w:rtl/>
        </w:rPr>
        <w:t>كلبايكاني في رواية وثائق السافاك]، ج 3، ص 1</w:t>
      </w:r>
      <w:r w:rsidRPr="006E28E9">
        <w:rPr>
          <w:rFonts w:hint="cs"/>
          <w:rtl/>
        </w:rPr>
        <w:t>67</w:t>
      </w:r>
      <w:r w:rsidRPr="006E28E9">
        <w:rPr>
          <w:rStyle w:val="FootnoteReference"/>
          <w:rFonts w:hint="cs"/>
          <w:vertAlign w:val="baseline"/>
          <w:rtl/>
        </w:rPr>
        <w:t>.</w:t>
      </w:r>
    </w:p>
  </w:footnote>
  <w:footnote w:id="39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زندگى نامه آ</w:t>
      </w:r>
      <w:r>
        <w:rPr>
          <w:rStyle w:val="Char9"/>
          <w:rFonts w:hint="cs"/>
          <w:sz w:val="20"/>
          <w:szCs w:val="20"/>
          <w:rtl/>
        </w:rPr>
        <w:t>ی</w:t>
      </w:r>
      <w:r w:rsidRPr="008C7124">
        <w:rPr>
          <w:rStyle w:val="Char9"/>
          <w:rFonts w:hint="cs"/>
          <w:sz w:val="20"/>
          <w:szCs w:val="20"/>
          <w:rtl/>
        </w:rPr>
        <w:t>ت الله گلپا</w:t>
      </w:r>
      <w:r>
        <w:rPr>
          <w:rStyle w:val="Char9"/>
          <w:rFonts w:hint="cs"/>
          <w:sz w:val="20"/>
          <w:szCs w:val="20"/>
          <w:rtl/>
        </w:rPr>
        <w:t>ی</w:t>
      </w:r>
      <w:r w:rsidRPr="008C7124">
        <w:rPr>
          <w:rStyle w:val="Char9"/>
          <w:rFonts w:hint="cs"/>
          <w:sz w:val="20"/>
          <w:szCs w:val="20"/>
          <w:rtl/>
        </w:rPr>
        <w:t>گانى</w:t>
      </w:r>
      <w:r w:rsidRPr="006E28E9">
        <w:rPr>
          <w:rStyle w:val="FootnoteReference"/>
          <w:rFonts w:hint="cs"/>
          <w:vertAlign w:val="baseline"/>
          <w:rtl/>
        </w:rPr>
        <w:t xml:space="preserve"> [سيرة الله الكلبايكاني]، ص 413. </w:t>
      </w:r>
      <w:r w:rsidRPr="006E28E9">
        <w:rPr>
          <w:rStyle w:val="FootnoteReference"/>
          <w:vertAlign w:val="baseline"/>
          <w:rtl/>
        </w:rPr>
        <w:t xml:space="preserve">كان </w:t>
      </w:r>
      <w:r w:rsidRPr="006E28E9">
        <w:rPr>
          <w:rStyle w:val="FootnoteReference"/>
          <w:rFonts w:hint="cs"/>
          <w:vertAlign w:val="baseline"/>
          <w:rtl/>
        </w:rPr>
        <w:t>ت</w:t>
      </w:r>
      <w:r w:rsidRPr="006E28E9">
        <w:rPr>
          <w:rFonts w:hint="cs"/>
          <w:rtl/>
        </w:rPr>
        <w:t>قرير «مقدَّم» المدير العام للدائرة الثالثة لجهاز السافاك هو التالي</w:t>
      </w:r>
      <w:r w:rsidRPr="006E28E9">
        <w:rPr>
          <w:rStyle w:val="FootnoteReference"/>
          <w:vertAlign w:val="baseline"/>
          <w:rtl/>
        </w:rPr>
        <w:t xml:space="preserve">: الرجاء إعطاء التعليمات بشكل غير مباشر وغير محسوس ودون أن ينتبه المشار إليه إلى ذلك، بتقديم تسهيلات لإعادة طباعة كتاب الشهيد الخالد. </w:t>
      </w:r>
      <w:r w:rsidRPr="006E28E9">
        <w:rPr>
          <w:rStyle w:val="FootnoteReference"/>
          <w:rFonts w:hint="cs"/>
          <w:vertAlign w:val="baseline"/>
          <w:rtl/>
        </w:rPr>
        <w:t>وانظروا في ص 414</w:t>
      </w:r>
      <w:r w:rsidRPr="006E28E9">
        <w:rPr>
          <w:rFonts w:hint="cs"/>
          <w:rtl/>
        </w:rPr>
        <w:t xml:space="preserve"> </w:t>
      </w:r>
      <w:r w:rsidRPr="006E28E9">
        <w:rPr>
          <w:rStyle w:val="FootnoteReference"/>
          <w:rFonts w:hint="cs"/>
          <w:vertAlign w:val="baseline"/>
          <w:rtl/>
        </w:rPr>
        <w:t xml:space="preserve">رد مهران رئيس جهاز السافاك في قم. </w:t>
      </w:r>
      <w:r w:rsidRPr="006E28E9">
        <w:rPr>
          <w:rFonts w:hint="cs"/>
          <w:rtl/>
        </w:rPr>
        <w:t xml:space="preserve">وقد كتب إلي السيد مهدوي </w:t>
      </w:r>
      <w:r w:rsidRPr="006E28E9">
        <w:rPr>
          <w:rFonts w:ascii="Times New Roman" w:hAnsi="Times New Roman" w:cs="Times New Roman" w:hint="cs"/>
          <w:rtl/>
        </w:rPr>
        <w:t>‌</w:t>
      </w:r>
      <w:r w:rsidRPr="006E28E9">
        <w:rPr>
          <w:rFonts w:ascii="mylotus" w:hAnsi="mylotus" w:hint="cs"/>
          <w:rtl/>
        </w:rPr>
        <w:t>راد</w:t>
      </w:r>
      <w:r w:rsidRPr="006E28E9">
        <w:rPr>
          <w:rFonts w:hint="cs"/>
          <w:rtl/>
        </w:rPr>
        <w:t xml:space="preserve"> </w:t>
      </w:r>
      <w:r w:rsidRPr="006E28E9">
        <w:rPr>
          <w:rFonts w:ascii="mylotus" w:hAnsi="mylotus" w:hint="cs"/>
          <w:rtl/>
        </w:rPr>
        <w:t>أنه</w:t>
      </w:r>
      <w:r w:rsidRPr="006E28E9">
        <w:rPr>
          <w:rFonts w:hint="cs"/>
          <w:rtl/>
        </w:rPr>
        <w:t xml:space="preserve"> </w:t>
      </w:r>
      <w:r w:rsidRPr="006E28E9">
        <w:rPr>
          <w:rFonts w:ascii="mylotus" w:hAnsi="mylotus" w:hint="cs"/>
          <w:rtl/>
        </w:rPr>
        <w:t>عندما</w:t>
      </w:r>
      <w:r w:rsidRPr="006E28E9">
        <w:rPr>
          <w:rFonts w:hint="cs"/>
          <w:rtl/>
        </w:rPr>
        <w:t xml:space="preserve"> </w:t>
      </w:r>
      <w:r w:rsidRPr="006E28E9">
        <w:rPr>
          <w:rFonts w:ascii="mylotus" w:hAnsi="mylotus" w:hint="cs"/>
          <w:rtl/>
        </w:rPr>
        <w:t>كان</w:t>
      </w:r>
      <w:r w:rsidRPr="006E28E9">
        <w:rPr>
          <w:rFonts w:hint="cs"/>
          <w:rtl/>
        </w:rPr>
        <w:t xml:space="preserve"> </w:t>
      </w:r>
      <w:r w:rsidRPr="006E28E9">
        <w:rPr>
          <w:rFonts w:ascii="mylotus" w:hAnsi="mylotus" w:hint="cs"/>
          <w:rtl/>
        </w:rPr>
        <w:t>في</w:t>
      </w:r>
      <w:r w:rsidRPr="006E28E9">
        <w:rPr>
          <w:rFonts w:hint="cs"/>
          <w:rtl/>
        </w:rPr>
        <w:t xml:space="preserve"> </w:t>
      </w:r>
      <w:r w:rsidRPr="006E28E9">
        <w:rPr>
          <w:rFonts w:ascii="mylotus" w:hAnsi="mylotus" w:hint="cs"/>
          <w:rtl/>
        </w:rPr>
        <w:t>المدرسة</w:t>
      </w:r>
      <w:r w:rsidRPr="006E28E9">
        <w:rPr>
          <w:rFonts w:hint="cs"/>
          <w:rtl/>
        </w:rPr>
        <w:t xml:space="preserve"> </w:t>
      </w:r>
      <w:r w:rsidRPr="006E28E9">
        <w:rPr>
          <w:rFonts w:ascii="mylotus" w:hAnsi="mylotus" w:hint="cs"/>
          <w:rtl/>
        </w:rPr>
        <w:t>الجعفرية</w:t>
      </w:r>
      <w:r w:rsidRPr="006E28E9">
        <w:rPr>
          <w:rFonts w:hint="cs"/>
          <w:rtl/>
        </w:rPr>
        <w:t xml:space="preserve"> </w:t>
      </w:r>
      <w:r w:rsidRPr="006E28E9">
        <w:rPr>
          <w:rFonts w:ascii="mylotus" w:hAnsi="mylotus" w:hint="cs"/>
          <w:rtl/>
        </w:rPr>
        <w:t>قبل</w:t>
      </w:r>
      <w:r w:rsidRPr="006E28E9">
        <w:rPr>
          <w:rFonts w:hint="cs"/>
          <w:rtl/>
        </w:rPr>
        <w:t xml:space="preserve"> </w:t>
      </w:r>
      <w:r w:rsidRPr="006E28E9">
        <w:rPr>
          <w:rFonts w:ascii="mylotus" w:hAnsi="mylotus" w:hint="cs"/>
          <w:rtl/>
        </w:rPr>
        <w:t>الثورة</w:t>
      </w:r>
      <w:r w:rsidRPr="006E28E9">
        <w:rPr>
          <w:rFonts w:hint="cs"/>
          <w:rtl/>
        </w:rPr>
        <w:t xml:space="preserve"> (</w:t>
      </w:r>
      <w:r w:rsidRPr="006E28E9">
        <w:rPr>
          <w:rFonts w:ascii="mylotus" w:hAnsi="mylotus" w:hint="cs"/>
          <w:rtl/>
        </w:rPr>
        <w:t>وهي</w:t>
      </w:r>
      <w:r w:rsidRPr="006E28E9">
        <w:rPr>
          <w:rFonts w:hint="cs"/>
          <w:rtl/>
        </w:rPr>
        <w:t xml:space="preserve"> </w:t>
      </w:r>
      <w:r w:rsidRPr="006E28E9">
        <w:rPr>
          <w:rFonts w:ascii="mylotus" w:hAnsi="mylotus" w:hint="cs"/>
          <w:rtl/>
        </w:rPr>
        <w:t>مؤسسة</w:t>
      </w:r>
      <w:r w:rsidRPr="006E28E9">
        <w:rPr>
          <w:rFonts w:hint="cs"/>
          <w:rtl/>
        </w:rPr>
        <w:t xml:space="preserve"> </w:t>
      </w:r>
      <w:r w:rsidRPr="006E28E9">
        <w:rPr>
          <w:rFonts w:ascii="mylotus" w:hAnsi="mylotus" w:hint="cs"/>
          <w:rtl/>
        </w:rPr>
        <w:t>أنشأها</w:t>
      </w:r>
      <w:r w:rsidRPr="006E28E9">
        <w:rPr>
          <w:rFonts w:hint="cs"/>
          <w:rtl/>
        </w:rPr>
        <w:t xml:space="preserve"> </w:t>
      </w:r>
      <w:r w:rsidRPr="006E28E9">
        <w:rPr>
          <w:rFonts w:ascii="mylotus" w:hAnsi="mylotus" w:hint="cs"/>
          <w:rtl/>
        </w:rPr>
        <w:t>الحاج</w:t>
      </w:r>
      <w:r w:rsidRPr="006E28E9">
        <w:rPr>
          <w:rFonts w:hint="cs"/>
          <w:rtl/>
        </w:rPr>
        <w:t xml:space="preserve"> </w:t>
      </w:r>
      <w:r w:rsidRPr="006E28E9">
        <w:rPr>
          <w:rFonts w:ascii="mylotus" w:hAnsi="mylotus" w:hint="cs"/>
          <w:rtl/>
        </w:rPr>
        <w:t>الشيخ</w:t>
      </w:r>
      <w:r w:rsidRPr="006E28E9">
        <w:rPr>
          <w:rFonts w:hint="cs"/>
          <w:rtl/>
        </w:rPr>
        <w:t xml:space="preserve"> </w:t>
      </w:r>
      <w:r w:rsidRPr="006E28E9">
        <w:rPr>
          <w:rFonts w:ascii="mylotus" w:hAnsi="mylotus" w:hint="cs"/>
          <w:rtl/>
        </w:rPr>
        <w:t>غلام</w:t>
      </w:r>
      <w:r w:rsidRPr="006E28E9">
        <w:rPr>
          <w:rFonts w:hint="cs"/>
          <w:rtl/>
        </w:rPr>
        <w:t xml:space="preserve"> </w:t>
      </w:r>
      <w:r w:rsidRPr="006E28E9">
        <w:rPr>
          <w:rFonts w:ascii="mylotus" w:hAnsi="mylotus" w:hint="cs"/>
          <w:rtl/>
        </w:rPr>
        <w:t>حسين</w:t>
      </w:r>
      <w:r w:rsidRPr="006E28E9">
        <w:rPr>
          <w:rFonts w:hint="cs"/>
          <w:rtl/>
        </w:rPr>
        <w:t xml:space="preserve"> </w:t>
      </w:r>
      <w:r w:rsidRPr="006E28E9">
        <w:rPr>
          <w:rFonts w:ascii="mylotus" w:hAnsi="mylotus" w:hint="cs"/>
          <w:rtl/>
        </w:rPr>
        <w:t>التبريزي</w:t>
      </w:r>
      <w:r w:rsidRPr="006E28E9">
        <w:rPr>
          <w:rFonts w:hint="cs"/>
          <w:rtl/>
        </w:rPr>
        <w:t>)</w:t>
      </w:r>
      <w:r w:rsidRPr="006E28E9">
        <w:rPr>
          <w:rFonts w:ascii="mylotus" w:hAnsi="mylotus" w:hint="cs"/>
          <w:rtl/>
        </w:rPr>
        <w:t>،</w:t>
      </w:r>
      <w:r w:rsidRPr="006E28E9">
        <w:rPr>
          <w:rFonts w:hint="cs"/>
          <w:rtl/>
        </w:rPr>
        <w:t xml:space="preserve"> </w:t>
      </w:r>
      <w:r w:rsidRPr="006E28E9">
        <w:rPr>
          <w:rFonts w:ascii="mylotus" w:hAnsi="mylotus" w:hint="cs"/>
          <w:rtl/>
        </w:rPr>
        <w:t>هجم</w:t>
      </w:r>
      <w:r w:rsidRPr="006E28E9">
        <w:rPr>
          <w:rFonts w:hint="cs"/>
          <w:rtl/>
        </w:rPr>
        <w:t xml:space="preserve"> </w:t>
      </w:r>
      <w:r w:rsidRPr="006E28E9">
        <w:rPr>
          <w:rFonts w:ascii="mylotus" w:hAnsi="mylotus" w:hint="cs"/>
          <w:rtl/>
        </w:rPr>
        <w:t>عناصر</w:t>
      </w:r>
      <w:r w:rsidRPr="006E28E9">
        <w:rPr>
          <w:rFonts w:hint="cs"/>
          <w:rtl/>
        </w:rPr>
        <w:t xml:space="preserve"> </w:t>
      </w:r>
      <w:r w:rsidRPr="006E28E9">
        <w:rPr>
          <w:rFonts w:ascii="mylotus" w:hAnsi="mylotus" w:hint="cs"/>
          <w:rtl/>
        </w:rPr>
        <w:t>الس</w:t>
      </w:r>
      <w:r w:rsidRPr="006E28E9">
        <w:rPr>
          <w:rFonts w:hint="cs"/>
          <w:rtl/>
        </w:rPr>
        <w:t>افاك على المدرسة واقتحموا غرفتي. فرأوا كتاب الشهيد الخالد وكتاب حلية المتقين على منضدتي. فتناول أحد عناصر الأمن كتاب الشهيد الخالد وقال لي: لماذا تقرأ هذا الكتاب؟ اقرأ كتاب حلية المتقين. ثم أخذ هذا العنصر يشتم صالحي ويسبه، لكنه قال في النهاية: لكن لما كان هذا الكتاب قد أوقع الخصام والعداوة بين الشيوخ فهو جيد جدًّا من هذه الناحية.</w:t>
      </w:r>
    </w:p>
  </w:footnote>
  <w:footnote w:id="398">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lang w:bidi="ar-SY"/>
        </w:rPr>
        <w:t xml:space="preserve">. </w:t>
      </w:r>
      <w:r w:rsidRPr="008C7124">
        <w:rPr>
          <w:rStyle w:val="Char9"/>
          <w:sz w:val="20"/>
          <w:szCs w:val="20"/>
          <w:rtl/>
        </w:rPr>
        <w:t>آ</w:t>
      </w:r>
      <w:r>
        <w:rPr>
          <w:rStyle w:val="Char9"/>
          <w:sz w:val="20"/>
          <w:szCs w:val="20"/>
          <w:rtl/>
        </w:rPr>
        <w:t>ی</w:t>
      </w:r>
      <w:r w:rsidRPr="008C7124">
        <w:rPr>
          <w:rStyle w:val="Char9"/>
          <w:sz w:val="20"/>
          <w:szCs w:val="20"/>
          <w:rtl/>
        </w:rPr>
        <w:t>ت الله گلپا</w:t>
      </w:r>
      <w:r>
        <w:rPr>
          <w:rStyle w:val="Char9"/>
          <w:sz w:val="20"/>
          <w:szCs w:val="20"/>
          <w:rtl/>
        </w:rPr>
        <w:t>ی</w:t>
      </w:r>
      <w:r w:rsidRPr="008C7124">
        <w:rPr>
          <w:rStyle w:val="Char9"/>
          <w:sz w:val="20"/>
          <w:szCs w:val="20"/>
          <w:rtl/>
        </w:rPr>
        <w:t>گانى به روا</w:t>
      </w:r>
      <w:r>
        <w:rPr>
          <w:rStyle w:val="Char9"/>
          <w:sz w:val="20"/>
          <w:szCs w:val="20"/>
          <w:rtl/>
        </w:rPr>
        <w:t>ی</w:t>
      </w:r>
      <w:r w:rsidRPr="008C7124">
        <w:rPr>
          <w:rStyle w:val="Char9"/>
          <w:sz w:val="20"/>
          <w:szCs w:val="20"/>
          <w:rtl/>
        </w:rPr>
        <w:t>ت اسناد ساوا</w:t>
      </w:r>
      <w:r>
        <w:rPr>
          <w:rStyle w:val="Char9"/>
          <w:sz w:val="20"/>
          <w:szCs w:val="20"/>
          <w:rtl/>
        </w:rPr>
        <w:t>ک</w:t>
      </w:r>
      <w:r w:rsidRPr="006E28E9">
        <w:rPr>
          <w:rtl/>
          <w:lang w:bidi="ar-SY"/>
        </w:rPr>
        <w:t xml:space="preserve"> [آية الله الكلبايكاني في رواية وثائق السافاك]، ج 3، ص </w:t>
      </w:r>
      <w:r w:rsidRPr="006E28E9">
        <w:rPr>
          <w:rFonts w:hint="cs"/>
          <w:rtl/>
          <w:lang w:bidi="ar-SY"/>
        </w:rPr>
        <w:t>20- 21</w:t>
      </w:r>
      <w:r w:rsidRPr="006E28E9">
        <w:rPr>
          <w:rtl/>
          <w:lang w:bidi="ar-SY"/>
        </w:rPr>
        <w:t>.</w:t>
      </w:r>
    </w:p>
  </w:footnote>
  <w:footnote w:id="399">
    <w:p w:rsidR="008C7124" w:rsidRPr="006E28E9" w:rsidRDefault="008C7124" w:rsidP="0092648A">
      <w:pPr>
        <w:pStyle w:val="FootnoteText"/>
        <w:rPr>
          <w:lang w:bidi="ar-SY"/>
        </w:rPr>
      </w:pPr>
      <w:r w:rsidRPr="006E28E9">
        <w:rPr>
          <w:rStyle w:val="FootnoteReference"/>
          <w:rFonts w:ascii="Arabic11 BT" w:hAnsi="Arabic11 BT" w:cs="Arabic11 BT"/>
          <w:vertAlign w:val="baseline"/>
        </w:rPr>
        <w:footnoteRef/>
      </w:r>
      <w:r w:rsidRPr="006E28E9">
        <w:rPr>
          <w:rFonts w:hint="cs"/>
          <w:rtl/>
          <w:lang w:bidi="ar-SY"/>
        </w:rPr>
        <w:t xml:space="preserve">. قال الإمام في إحدى المناسبات: نشاهد أحياناً أنهم يصنعون قصةً مثل قصة «الشهيد الخالد»، فيقوم هذا الخطيب المنبري بالحديث عنها ثم خطيب منبري آخر ثم خطيب ثالث ثم هذا المحراب وذلك المحراب وهذا المحراب، وتمتلئ البلاد كلها بالكلام على كتاب الشهيد الخالد. ماذا يوجد في كتاب الشهيد الخالد حتى جعلكم تصيحون كل هذا القدر؟ وما السبب في ذلك؟ كان الوقت يقترب من شهر محرّم؛ وكانوا [أي أزلام السلطة ورجال الأمن] يرَون أنه لو اتحدت هذه القوى مع بعضها، وانتبهت لا سمح الله! إلى ما تعانيه من مشاكل، لأدركت من الذي أوقعها في المشاكل، لذا كانوا يطرحون قضية كتاب </w:t>
      </w:r>
      <w:r w:rsidRPr="006E28E9">
        <w:rPr>
          <w:rFonts w:hint="cs"/>
          <w:b/>
          <w:bCs/>
          <w:rtl/>
          <w:lang w:bidi="ar-SY"/>
        </w:rPr>
        <w:t>الشهيد الخالد</w:t>
      </w:r>
      <w:r w:rsidRPr="006E28E9">
        <w:rPr>
          <w:rFonts w:hint="cs"/>
          <w:rtl/>
          <w:lang w:bidi="ar-SY"/>
        </w:rPr>
        <w:t xml:space="preserve"> [لإثارة البلبلة بين العلماء وشغلهم بها]. ونحن أيضًا غافلون عن مسائل العصر والمسائل السياسية وانشغلنا بالتصارع ومهاجمة أحدنا الآخر. انظروا: </w:t>
      </w:r>
      <w:r w:rsidRPr="006E28E9">
        <w:rPr>
          <w:rFonts w:hint="cs"/>
          <w:b/>
          <w:bCs/>
          <w:rtl/>
          <w:lang w:bidi="ar-SY"/>
        </w:rPr>
        <w:t>صحيفه امام،</w:t>
      </w:r>
      <w:r w:rsidRPr="006E28E9">
        <w:rPr>
          <w:rFonts w:hint="cs"/>
          <w:rtl/>
          <w:lang w:bidi="ar-SY"/>
        </w:rPr>
        <w:t xml:space="preserve"> ج 8، ص 533. كما أن الإمام ذكر مثل هذا التحليل في أكثر من مناسبة: انظروا: </w:t>
      </w:r>
      <w:r w:rsidRPr="006E28E9">
        <w:rPr>
          <w:rFonts w:hint="cs"/>
          <w:b/>
          <w:bCs/>
          <w:rtl/>
          <w:lang w:bidi="ar-SY"/>
        </w:rPr>
        <w:t>المصدر نفسه</w:t>
      </w:r>
      <w:r w:rsidRPr="006E28E9">
        <w:rPr>
          <w:rFonts w:hint="cs"/>
          <w:rtl/>
          <w:lang w:bidi="ar-SY"/>
        </w:rPr>
        <w:t>، ج 4، ص 236؛ ج 7، ص 409؛ ج 8، ص 460. وكان هذا الموقف هو ذاته الذي اتخذه الإمام تجاه الدكتور شريعتي، وقد بيّنّا مواضع ذلك سابقاً في صحيفة النور.</w:t>
      </w:r>
    </w:p>
  </w:footnote>
  <w:footnote w:id="400">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Fonts w:hint="cs"/>
          <w:rtl/>
        </w:rPr>
        <w:t xml:space="preserve"> </w:t>
      </w:r>
      <w:r w:rsidRPr="008C7124">
        <w:rPr>
          <w:rStyle w:val="Char9"/>
          <w:rFonts w:hint="cs"/>
          <w:sz w:val="20"/>
          <w:szCs w:val="20"/>
          <w:rtl/>
        </w:rPr>
        <w:t>زندگى</w:t>
      </w:r>
      <w:r w:rsidRPr="006E28E9">
        <w:rPr>
          <w:rStyle w:val="FootnoteReference"/>
          <w:rFonts w:ascii="Times New Roman" w:hAnsi="Times New Roman" w:cs="Times New Roman" w:hint="cs"/>
          <w:b/>
          <w:bCs/>
          <w:vertAlign w:val="baseline"/>
          <w:rtl/>
        </w:rPr>
        <w:t>‌</w:t>
      </w:r>
      <w:r w:rsidRPr="008C7124">
        <w:rPr>
          <w:rStyle w:val="Char9"/>
          <w:rFonts w:hint="cs"/>
          <w:sz w:val="20"/>
          <w:szCs w:val="20"/>
          <w:rtl/>
        </w:rPr>
        <w:t>نامه آ</w:t>
      </w:r>
      <w:r>
        <w:rPr>
          <w:rStyle w:val="Char9"/>
          <w:rFonts w:hint="cs"/>
          <w:sz w:val="20"/>
          <w:szCs w:val="20"/>
          <w:rtl/>
        </w:rPr>
        <w:t>ی</w:t>
      </w:r>
      <w:r w:rsidRPr="008C7124">
        <w:rPr>
          <w:rStyle w:val="Char9"/>
          <w:rFonts w:hint="cs"/>
          <w:sz w:val="20"/>
          <w:szCs w:val="20"/>
          <w:rtl/>
        </w:rPr>
        <w:t>ت الله العظمى 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6E28E9">
        <w:rPr>
          <w:rStyle w:val="FootnoteReference"/>
          <w:rFonts w:hint="cs"/>
          <w:vertAlign w:val="baseline"/>
          <w:rtl/>
        </w:rPr>
        <w:t xml:space="preserve"> [سيرة آية الله العظمى الكلبايكاني]، ص 413 - 414.</w:t>
      </w:r>
    </w:p>
  </w:footnote>
  <w:footnote w:id="40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هفت هزار روز تار</w:t>
      </w:r>
      <w:r>
        <w:rPr>
          <w:rStyle w:val="Char9"/>
          <w:rFonts w:hint="cs"/>
          <w:sz w:val="20"/>
          <w:szCs w:val="20"/>
          <w:rtl/>
        </w:rPr>
        <w:t>ی</w:t>
      </w:r>
      <w:r w:rsidRPr="008C7124">
        <w:rPr>
          <w:rStyle w:val="Char9"/>
          <w:rFonts w:hint="cs"/>
          <w:sz w:val="20"/>
          <w:szCs w:val="20"/>
          <w:rtl/>
        </w:rPr>
        <w:t>خ ا</w:t>
      </w:r>
      <w:r>
        <w:rPr>
          <w:rStyle w:val="Char9"/>
          <w:rFonts w:hint="cs"/>
          <w:sz w:val="20"/>
          <w:szCs w:val="20"/>
          <w:rtl/>
        </w:rPr>
        <w:t>ی</w:t>
      </w:r>
      <w:r w:rsidRPr="008C7124">
        <w:rPr>
          <w:rStyle w:val="Char9"/>
          <w:rFonts w:hint="cs"/>
          <w:sz w:val="20"/>
          <w:szCs w:val="20"/>
          <w:rtl/>
        </w:rPr>
        <w:t>ران</w:t>
      </w:r>
      <w:r w:rsidRPr="006E28E9">
        <w:rPr>
          <w:rFonts w:hint="cs"/>
          <w:rtl/>
        </w:rPr>
        <w:t xml:space="preserve"> [سبعة آلاف يوم من تاريخ إيران]، ج 1، ص 551.</w:t>
      </w:r>
    </w:p>
  </w:footnote>
  <w:footnote w:id="40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انظروا: </w:t>
      </w:r>
      <w:r w:rsidRPr="008C7124">
        <w:rPr>
          <w:rStyle w:val="Char9"/>
          <w:sz w:val="20"/>
          <w:szCs w:val="20"/>
          <w:rtl/>
        </w:rPr>
        <w:t>زندگى</w:t>
      </w:r>
      <w:r w:rsidRPr="006E28E9">
        <w:rPr>
          <w:rFonts w:ascii="Times New Roman" w:hAnsi="Times New Roman" w:cs="Times New Roman" w:hint="cs"/>
          <w:b/>
          <w:bCs/>
          <w:rtl/>
        </w:rPr>
        <w:t>‌</w:t>
      </w:r>
      <w:r w:rsidRPr="008C7124">
        <w:rPr>
          <w:rStyle w:val="Char9"/>
          <w:rFonts w:hint="cs"/>
          <w:sz w:val="20"/>
          <w:szCs w:val="20"/>
          <w:rtl/>
        </w:rPr>
        <w:t>نامه</w:t>
      </w:r>
      <w:r w:rsidRPr="008C7124">
        <w:rPr>
          <w:rStyle w:val="Char9"/>
          <w:sz w:val="20"/>
          <w:szCs w:val="20"/>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w:t>
      </w:r>
      <w:r w:rsidRPr="008C7124">
        <w:rPr>
          <w:rStyle w:val="Char9"/>
          <w:sz w:val="20"/>
          <w:szCs w:val="20"/>
          <w:rtl/>
        </w:rPr>
        <w:t xml:space="preserve"> </w:t>
      </w:r>
      <w:r w:rsidRPr="008C7124">
        <w:rPr>
          <w:rStyle w:val="Char9"/>
          <w:rFonts w:hint="cs"/>
          <w:sz w:val="20"/>
          <w:szCs w:val="20"/>
          <w:rtl/>
        </w:rPr>
        <w:t>الله</w:t>
      </w:r>
      <w:r w:rsidRPr="008C7124">
        <w:rPr>
          <w:rStyle w:val="Char9"/>
          <w:sz w:val="20"/>
          <w:szCs w:val="20"/>
          <w:rtl/>
        </w:rPr>
        <w:t xml:space="preserve"> </w:t>
      </w:r>
      <w:r w:rsidRPr="008C7124">
        <w:rPr>
          <w:rStyle w:val="Char9"/>
          <w:rFonts w:hint="cs"/>
          <w:sz w:val="20"/>
          <w:szCs w:val="20"/>
          <w:rtl/>
        </w:rPr>
        <w:t>العظمى</w:t>
      </w:r>
      <w:r w:rsidRPr="008C7124">
        <w:rPr>
          <w:rStyle w:val="Char9"/>
          <w:sz w:val="20"/>
          <w:szCs w:val="20"/>
          <w:rtl/>
        </w:rPr>
        <w:t xml:space="preserve"> </w:t>
      </w:r>
      <w:r w:rsidRPr="008C7124">
        <w:rPr>
          <w:rStyle w:val="Char9"/>
          <w:rFonts w:hint="cs"/>
          <w:sz w:val="20"/>
          <w:szCs w:val="20"/>
          <w:rtl/>
        </w:rPr>
        <w:t>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6E28E9">
        <w:rPr>
          <w:rtl/>
        </w:rPr>
        <w:t xml:space="preserve"> [سيرة آية الله العظمى الكلبايكاني]، ص 120</w:t>
      </w:r>
      <w:r w:rsidRPr="006E28E9">
        <w:rPr>
          <w:rFonts w:hint="cs"/>
          <w:rtl/>
        </w:rPr>
        <w:t>، 428 - 429.</w:t>
      </w:r>
    </w:p>
  </w:footnote>
  <w:footnote w:id="403">
    <w:p w:rsidR="008C7124" w:rsidRPr="006E28E9" w:rsidRDefault="008C7124" w:rsidP="0092648A">
      <w:pPr>
        <w:pStyle w:val="FootnoteText"/>
        <w:rPr>
          <w:rStyle w:val="FootnoteReference"/>
          <w:vertAlign w:val="baseline"/>
          <w:rtl/>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sz w:val="20"/>
          <w:szCs w:val="20"/>
          <w:rtl/>
        </w:rPr>
        <w:t>زندگى</w:t>
      </w:r>
      <w:r w:rsidRPr="006E28E9">
        <w:rPr>
          <w:rFonts w:ascii="Times New Roman" w:hAnsi="Times New Roman" w:cs="Times New Roman" w:hint="cs"/>
          <w:b/>
          <w:bCs/>
          <w:rtl/>
          <w:lang w:bidi="ar-SY"/>
        </w:rPr>
        <w:t>‌</w:t>
      </w:r>
      <w:r w:rsidRPr="008C7124">
        <w:rPr>
          <w:rStyle w:val="Char9"/>
          <w:rFonts w:hint="cs"/>
          <w:sz w:val="20"/>
          <w:szCs w:val="20"/>
          <w:rtl/>
        </w:rPr>
        <w:t>نامه</w:t>
      </w:r>
      <w:r w:rsidRPr="008C7124">
        <w:rPr>
          <w:rStyle w:val="Char9"/>
          <w:sz w:val="20"/>
          <w:szCs w:val="20"/>
          <w:rtl/>
        </w:rPr>
        <w:t xml:space="preserve">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w:t>
      </w:r>
      <w:r w:rsidRPr="008C7124">
        <w:rPr>
          <w:rStyle w:val="Char9"/>
          <w:sz w:val="20"/>
          <w:szCs w:val="20"/>
          <w:rtl/>
        </w:rPr>
        <w:t xml:space="preserve"> </w:t>
      </w:r>
      <w:r w:rsidRPr="008C7124">
        <w:rPr>
          <w:rStyle w:val="Char9"/>
          <w:rFonts w:hint="cs"/>
          <w:sz w:val="20"/>
          <w:szCs w:val="20"/>
          <w:rtl/>
        </w:rPr>
        <w:t>الله</w:t>
      </w:r>
      <w:r w:rsidRPr="008C7124">
        <w:rPr>
          <w:rStyle w:val="Char9"/>
          <w:sz w:val="20"/>
          <w:szCs w:val="20"/>
          <w:rtl/>
        </w:rPr>
        <w:t xml:space="preserve"> </w:t>
      </w:r>
      <w:r w:rsidRPr="008C7124">
        <w:rPr>
          <w:rStyle w:val="Char9"/>
          <w:rFonts w:hint="cs"/>
          <w:sz w:val="20"/>
          <w:szCs w:val="20"/>
          <w:rtl/>
        </w:rPr>
        <w:t>العظمى</w:t>
      </w:r>
      <w:r w:rsidRPr="008C7124">
        <w:rPr>
          <w:rStyle w:val="Char9"/>
          <w:sz w:val="20"/>
          <w:szCs w:val="20"/>
          <w:rtl/>
        </w:rPr>
        <w:t xml:space="preserve"> </w:t>
      </w:r>
      <w:r w:rsidRPr="008C7124">
        <w:rPr>
          <w:rStyle w:val="Char9"/>
          <w:rFonts w:hint="cs"/>
          <w:sz w:val="20"/>
          <w:szCs w:val="20"/>
          <w:rtl/>
        </w:rPr>
        <w:t>گلپا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6E28E9">
        <w:rPr>
          <w:rtl/>
          <w:lang w:bidi="ar-SY"/>
        </w:rPr>
        <w:t xml:space="preserve"> [سيرة آية الله العظمى الكلبايكاني]، ص</w:t>
      </w:r>
      <w:r w:rsidRPr="006E28E9">
        <w:rPr>
          <w:rFonts w:hint="cs"/>
          <w:rtl/>
          <w:lang w:bidi="ar-SY"/>
        </w:rPr>
        <w:t xml:space="preserve"> 121.</w:t>
      </w:r>
    </w:p>
  </w:footnote>
  <w:footnote w:id="40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ينقل السيد قدرة الله علي خاني (في شهر آذر سنة 1389 هـ.ش) عن السيد حسن الخميني أن الحاج السيد مصطفى الخميني كان قد طلب من إشراقي أن يكتب شيئاً حول كتاب الشهيد الخالد كي لا ينسب الكتاب إلى السيد الخميني. </w:t>
      </w:r>
    </w:p>
  </w:footnote>
  <w:footnote w:id="40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طاهرى خرمآبادى</w:t>
      </w:r>
      <w:r w:rsidRPr="006E28E9">
        <w:rPr>
          <w:rStyle w:val="FootnoteReference"/>
          <w:rFonts w:hint="cs"/>
          <w:vertAlign w:val="baseline"/>
          <w:rtl/>
        </w:rPr>
        <w:t>، ص 101.</w:t>
      </w:r>
      <w:r w:rsidRPr="006E28E9">
        <w:rPr>
          <w:rStyle w:val="FootnoteReference"/>
          <w:vertAlign w:val="baseline"/>
          <w:rtl/>
        </w:rPr>
        <w:t xml:space="preserve"> </w:t>
      </w:r>
    </w:p>
  </w:footnote>
  <w:footnote w:id="406">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منتظر</w:t>
      </w:r>
      <w:r>
        <w:rPr>
          <w:rStyle w:val="Char9"/>
          <w:rFonts w:hint="cs"/>
          <w:sz w:val="20"/>
          <w:szCs w:val="20"/>
          <w:rtl/>
        </w:rPr>
        <w:t>ی</w:t>
      </w:r>
      <w:r w:rsidRPr="006E28E9">
        <w:rPr>
          <w:rStyle w:val="FootnoteReference"/>
          <w:rFonts w:hint="cs"/>
          <w:vertAlign w:val="baseline"/>
          <w:rtl/>
        </w:rPr>
        <w:t xml:space="preserve">، </w:t>
      </w:r>
      <w:r w:rsidRPr="006E28E9">
        <w:rPr>
          <w:rFonts w:hint="cs"/>
          <w:rtl/>
        </w:rPr>
        <w:t xml:space="preserve">ج 1 ، </w:t>
      </w:r>
      <w:r w:rsidRPr="006E28E9">
        <w:rPr>
          <w:rStyle w:val="FootnoteReference"/>
          <w:rFonts w:hint="cs"/>
          <w:vertAlign w:val="baseline"/>
          <w:rtl/>
        </w:rPr>
        <w:t xml:space="preserve">ص 306. </w:t>
      </w:r>
    </w:p>
  </w:footnote>
  <w:footnote w:id="407">
    <w:p w:rsidR="008C7124" w:rsidRPr="006E28E9" w:rsidRDefault="008C7124" w:rsidP="0092648A">
      <w:pPr>
        <w:pStyle w:val="FootnoteText"/>
        <w:rPr>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ع</w:t>
      </w:r>
      <w:r w:rsidRPr="006E28E9">
        <w:rPr>
          <w:rFonts w:hint="cs"/>
          <w:rtl/>
        </w:rPr>
        <w:t xml:space="preserve">لَّق </w:t>
      </w:r>
      <w:r w:rsidRPr="006E28E9">
        <w:rPr>
          <w:rStyle w:val="FootnoteReference"/>
          <w:rFonts w:hint="cs"/>
          <w:vertAlign w:val="baseline"/>
          <w:rtl/>
        </w:rPr>
        <w:t xml:space="preserve">السيد </w:t>
      </w:r>
      <w:r w:rsidRPr="006E28E9">
        <w:rPr>
          <w:rFonts w:hint="cs"/>
          <w:rtl/>
        </w:rPr>
        <w:t xml:space="preserve">جلال الدين </w:t>
      </w:r>
      <w:r w:rsidRPr="006E28E9">
        <w:rPr>
          <w:rStyle w:val="FootnoteReference"/>
          <w:rFonts w:hint="cs"/>
          <w:vertAlign w:val="baseline"/>
          <w:rtl/>
        </w:rPr>
        <w:t xml:space="preserve">الفارسي </w:t>
      </w:r>
      <w:r w:rsidRPr="006E28E9">
        <w:rPr>
          <w:rFonts w:hint="cs"/>
          <w:rtl/>
        </w:rPr>
        <w:t xml:space="preserve">على ما ذكرته هنا </w:t>
      </w:r>
      <w:r w:rsidRPr="006E28E9">
        <w:rPr>
          <w:rStyle w:val="FootnoteReference"/>
          <w:rFonts w:hint="cs"/>
          <w:vertAlign w:val="baseline"/>
          <w:rtl/>
        </w:rPr>
        <w:t>ف</w:t>
      </w:r>
      <w:r w:rsidRPr="006E28E9">
        <w:rPr>
          <w:rFonts w:hint="cs"/>
          <w:rtl/>
        </w:rPr>
        <w:t>ي متن الكتاب الحاضر فكتب في الحاشية قائلاً</w:t>
      </w:r>
      <w:r w:rsidRPr="006E28E9">
        <w:rPr>
          <w:rStyle w:val="FootnoteReference"/>
          <w:rFonts w:hint="cs"/>
          <w:vertAlign w:val="baseline"/>
          <w:rtl/>
        </w:rPr>
        <w:t>: لقد أخذ الدكتور شريعتي هذا الفكرة من فقرة «تكتيك الطف</w:t>
      </w:r>
      <w:r w:rsidRPr="006E28E9">
        <w:rPr>
          <w:rFonts w:hint="cs"/>
          <w:rtl/>
        </w:rPr>
        <w:t xml:space="preserve">» - عنوان الفصل الأخير والمبسوط لكتابي </w:t>
      </w:r>
      <w:r w:rsidRPr="008C7124">
        <w:rPr>
          <w:rStyle w:val="Char9"/>
          <w:rFonts w:hint="cs"/>
          <w:sz w:val="20"/>
          <w:szCs w:val="20"/>
          <w:rtl/>
        </w:rPr>
        <w:t>انقلاب ت</w:t>
      </w:r>
      <w:r>
        <w:rPr>
          <w:rStyle w:val="Char9"/>
          <w:rFonts w:hint="cs"/>
          <w:sz w:val="20"/>
          <w:szCs w:val="20"/>
          <w:rtl/>
        </w:rPr>
        <w:t>ک</w:t>
      </w:r>
      <w:r w:rsidRPr="008C7124">
        <w:rPr>
          <w:rStyle w:val="Char9"/>
          <w:rFonts w:hint="cs"/>
          <w:sz w:val="20"/>
          <w:szCs w:val="20"/>
          <w:rtl/>
        </w:rPr>
        <w:t>امل</w:t>
      </w:r>
      <w:r>
        <w:rPr>
          <w:rStyle w:val="Char9"/>
          <w:rFonts w:hint="cs"/>
          <w:sz w:val="20"/>
          <w:szCs w:val="20"/>
          <w:rtl/>
        </w:rPr>
        <w:t>ی</w:t>
      </w:r>
      <w:r w:rsidRPr="008C7124">
        <w:rPr>
          <w:rStyle w:val="Char9"/>
          <w:rFonts w:hint="cs"/>
          <w:sz w:val="20"/>
          <w:szCs w:val="20"/>
          <w:rtl/>
        </w:rPr>
        <w:t xml:space="preserve"> اسلام</w:t>
      </w:r>
      <w:r w:rsidRPr="006E28E9">
        <w:rPr>
          <w:rFonts w:hint="cs"/>
          <w:rtl/>
        </w:rPr>
        <w:t xml:space="preserve"> [الثورة التكاملية للإسلام]، وألقى محاضرته: «شهادت» [الشهادة] بعد طباعة كتابي في صيف سنة 1349 </w:t>
      </w:r>
      <w:r w:rsidRPr="006E28E9">
        <w:rPr>
          <w:rFonts w:hint="cs"/>
          <w:rtl/>
          <w:lang w:bidi="ar-SY"/>
        </w:rPr>
        <w:t>هـ.ش</w:t>
      </w:r>
      <w:r w:rsidRPr="006E28E9">
        <w:rPr>
          <w:rFonts w:hint="cs"/>
          <w:rtl/>
        </w:rPr>
        <w:t xml:space="preserve">، كما أن الشهيد مطهري -أعلى الله مقامه- كتب كتابه «شهادت» [الشهادة] بعد صدور هذين الكتابين [أي كتاب الثورة التكاملية للإسلام، لي، وكتاب الشهادة لشريعتي]. في فصل تكتيك الطف، طرحتُ نظريةً غير ما أشرتم إليه، وهي أن سيد الشهداء سار في طريقٍ وقام بثورةٍ جعلت نظام يزيد يُحْشَر بين خيارين لا ثالث لهما، أيهما اختار صبَّ ذلك في صالح انتصار سيد الشهداء وفوزه في حركته. الخيار الثاني كان قتل الإمام </w:t>
      </w:r>
      <w:r w:rsidRPr="00924380">
        <w:rPr>
          <w:rFonts w:cs="CTraditional Arabic" w:hint="cs"/>
          <w:rtl/>
        </w:rPr>
        <w:t>÷</w:t>
      </w:r>
      <w:r w:rsidRPr="006E28E9">
        <w:rPr>
          <w:rFonts w:hint="cs"/>
          <w:rtl/>
        </w:rPr>
        <w:t xml:space="preserve"> وهو ما فعله يزيد وانتصر الإمام </w:t>
      </w:r>
      <w:r w:rsidRPr="00924380">
        <w:rPr>
          <w:rFonts w:cs="CTraditional Arabic" w:hint="cs"/>
          <w:rtl/>
        </w:rPr>
        <w:t>÷</w:t>
      </w:r>
      <w:r w:rsidRPr="006E28E9">
        <w:rPr>
          <w:rFonts w:hint="cs"/>
          <w:rtl/>
        </w:rPr>
        <w:t xml:space="preserve"> بذلك. لأن الآثار والنتائج التي ترتبت على تلك الشهادة حققت القصد والهدف الذي كان يسعى إليه الإمام </w:t>
      </w:r>
      <w:r w:rsidRPr="00924380">
        <w:rPr>
          <w:rFonts w:cs="CTraditional Arabic" w:hint="cs"/>
          <w:rtl/>
        </w:rPr>
        <w:t>÷</w:t>
      </w:r>
      <w:r w:rsidRPr="006E28E9">
        <w:rPr>
          <w:rFonts w:hint="cs"/>
          <w:rtl/>
        </w:rPr>
        <w:t xml:space="preserve">، وقد شرحتُ آثار تلك الشهادة وتبعاتها في نهاية هذا الفصل بالذات [أي فصل تكتيك الطف]. وكان سيد الشهداء على علم بهذه الحقيقة. وهذا العلم بكيفية صناعة ثورة توحيدية وتكاملية، والعلم باستراتيجية ذلك، والذي كان أمرًا مشتركًا بين أئمة أهل البيت جميعهم، هو الذي جعلهم يُلَقَّبُون بـ«ألو الأمر». وهذا إضافة إلى ولايتهم التكوينية وعلمهم بالقرآن وعدم انفصال العترة عن </w:t>
      </w:r>
      <w:r w:rsidRPr="006E28E9">
        <w:rPr>
          <w:rFonts w:hint="cs"/>
          <w:rtl/>
          <w:lang w:bidi="ar-SY"/>
        </w:rPr>
        <w:t>القرآن</w:t>
      </w:r>
      <w:r w:rsidRPr="006E28E9">
        <w:rPr>
          <w:rFonts w:hint="cs"/>
          <w:rtl/>
        </w:rPr>
        <w:t>.</w:t>
      </w:r>
    </w:p>
    <w:p w:rsidR="008C7124" w:rsidRPr="006E28E9" w:rsidRDefault="008C7124" w:rsidP="0092648A">
      <w:pPr>
        <w:pStyle w:val="FootnoteText"/>
        <w:rPr>
          <w:rStyle w:val="FootnoteReference"/>
          <w:vertAlign w:val="baseline"/>
        </w:rPr>
      </w:pPr>
      <w:r w:rsidRPr="006E28E9">
        <w:rPr>
          <w:rFonts w:hint="cs"/>
          <w:rtl/>
        </w:rPr>
        <w:tab/>
        <w:t xml:space="preserve">كما قال لي السيد [جلال الدين] الفارسي: رأى الأستاذ محمد تقي شريعتي [والد الدكتور علي شريعتي] كتاب الشهيد الخالد وقرأه قبل طباعته. وقال: إن العمل الذي قام به المؤلف يشبه عمل شخص أرسل ابنه لدراسة الرمل والإصطرلاب. وبعد مدة رد الأستاذ ابنه ورسَّبه. فلما اعترض الأب على ذلك وقال للأستاذ: امتحنه. قَبِلَ الأستاذُ الاعتراض وامتحن ابنه بأن وضع - أي الأستاذ - في أصبعه خاتماً وقال للتلميذ: ارم الرمل والإصطرلاب وبين لي ما هذا الخاتم؟ فقال التلميذ: انه حجر. إلى هنا كان كلامه صحيحاً. ثم قال: وهو مُدَوَّر. وكان هذا صحيحاً أيضًا، ثم قال للتلميذ: حسنًا، في نهاية الأمر، ما هو هذا الشيء؟ فقال التلميذ: إنه حجر المطحنة!! قال الأستاذ محمد تقي شريعتي: إن مقدمات مؤلف كتاب الشهيد الخالد والاستنتاج الذي وصل إليه هي من هذا النوع. </w:t>
      </w:r>
    </w:p>
  </w:footnote>
  <w:footnote w:id="408">
    <w:p w:rsidR="008C7124" w:rsidRPr="006E28E9" w:rsidRDefault="008C7124" w:rsidP="0092648A">
      <w:pPr>
        <w:pStyle w:val="FootnoteText"/>
        <w:rPr>
          <w:rStyle w:val="FootnoteReference"/>
          <w:vertAlign w:val="baseline"/>
          <w:rtl/>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lang w:bidi="ar-SY"/>
        </w:rPr>
        <w:t xml:space="preserve">أشرنا في موضع آخر إلى هذا النقطة وهي أن النظرة إلى كربلاء تغيرت في العصر الجديد عما كان سائداً لدى عامة الناس خلال العهد القاجاري، إذْ صار عامة الناس يهتمون في العهد الجديد إلى حد كبير بالأبعاد السياسية لكربلاء. على سبيل المثال يمكننا أن نشير إلى عشرات العناوين لكتب ألفت حول هذا الموضوع. وبالنسبة إلى علماء الدين الثوريين كان موضوع كربلاء أحد الموضوعات الأساسية لخطبهم في أيام محرم وفيما سواها من أيام السنة. فمثلاً كان آية الله طالقاني يشير إلى هذا الموضوع في خطبه وكنموذج على ذلك أنه في قال خطبة له ألقاها بتاريخ 24/3/ 1341 هـ.ش [1962م]: «لقد ضحى الإمام الحسين بحياته وبأسرته بعد ثورته الباسلة في سبيل الحرية، لكن الناس لسوء الحظ لم يستفيدوا من الثورة الحسينية سوى استفادة سيئة جداً. ففي كل سنة ينطلق الناس في شهر محرم بصراخ واحسيناه! واحسيناه! دون أن يفهموا المعنى الحقيقي والهدف الأساسي لثورة الحسين بن علي. هؤلاء المساكين - مخاطباً الناس في عصره- بدلاً من أن يضربوا رأسهم وأجسامهم بالسيف والسلاسل عليهم أن يضربوا بها رؤوس وأجساد الهيئة الحاكمة التي هي سبب شقائهم ومصائبهم. عليكم أيها الناس أن تضربوا بالسلاسل رؤوس من هم أمثال يزيد ومعاوية في هذا العصر الذين هم مصدر الأمور، لا أن تضربوا بها رؤوسكم». انظروا: </w:t>
      </w:r>
      <w:r w:rsidRPr="008C7124">
        <w:rPr>
          <w:rStyle w:val="Char9"/>
          <w:rFonts w:hint="cs"/>
          <w:sz w:val="20"/>
          <w:szCs w:val="20"/>
          <w:rtl/>
        </w:rPr>
        <w:t>بازوى تواناى اسلام</w:t>
      </w:r>
      <w:r w:rsidRPr="006E28E9">
        <w:rPr>
          <w:rFonts w:hint="cs"/>
          <w:rtl/>
          <w:lang w:bidi="ar-SY"/>
        </w:rPr>
        <w:t xml:space="preserve"> [ساعد الإسلام القوي]، ج 1، ص 186 - 187. ونموذج آخر ما جاء في خطبةٍ للسيد [علي] خامنئي ألقاها بتاريخ 28/12/1348 في جمعية المهندسين الإسلامية في مسجد الجواد </w:t>
      </w:r>
      <w:r w:rsidRPr="00924380">
        <w:rPr>
          <w:rFonts w:cs="CTraditional Arabic" w:hint="cs"/>
          <w:rtl/>
          <w:lang w:bidi="ar-SY"/>
        </w:rPr>
        <w:t>÷</w:t>
      </w:r>
      <w:r w:rsidRPr="006E28E9">
        <w:rPr>
          <w:rFonts w:hint="cs"/>
          <w:rtl/>
          <w:lang w:bidi="ar-SY"/>
        </w:rPr>
        <w:t xml:space="preserve"> في طهران، طبقًا لتقرير أحد مأموري جهاز السافاك، حيث قال: «في الخطبة التي ألقتها حضرة فاطمة (الصغرى) في الكوفة على الناس، أرشدت الناس إلى الثورة والجهاد في سبيل الإسلام، وذلك لأن دولة معاوية الدكتاتورية في ذلك الزمن لم تكن تميّز بين الحلال والحرام، والآن أيضًا في بلادنا توجد دولة دكتاتورية لا تميّز بين الحلال والحرام. والسبب في ذلك أنه ليس لدينا رجل، لو كان لدينا رجل لَعُرِفَ الحلال والحرام في بلادنا... ثم قال في دعائه: اللهم أحلل في أجسادنا الثورة الحسينية. انظروا: </w:t>
      </w:r>
      <w:r>
        <w:rPr>
          <w:rStyle w:val="Char9"/>
          <w:rFonts w:hint="cs"/>
          <w:sz w:val="20"/>
          <w:szCs w:val="20"/>
          <w:rtl/>
        </w:rPr>
        <w:t>ی</w:t>
      </w:r>
      <w:r w:rsidRPr="008C7124">
        <w:rPr>
          <w:rStyle w:val="Char9"/>
          <w:rFonts w:hint="cs"/>
          <w:sz w:val="20"/>
          <w:szCs w:val="20"/>
          <w:rtl/>
        </w:rPr>
        <w:t>اران امام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Fonts w:hint="cs"/>
          <w:rtl/>
          <w:lang w:bidi="ar-SY"/>
        </w:rPr>
        <w:t xml:space="preserve"> [أصحاب الإمام في وثائق السافاك]، الشهيد هاشمي نجاد، ص 306 - 307. كما كان الشهيد هاشمي نجاد أيضًا يقارن الشاه في موارد كثيرة بفرعون، بل كان يرى أن فرعون أكثر تحررًا من الشاه بدليل الحرية التي كان يعطيها لمن يفسِّرون له أحلامه. المصدر نفسه، ص 371. ونشاهد في هذا المجال أيضًا أمثلة متعددة في خطب الشهيد المحلاتي. انظروا: </w:t>
      </w:r>
      <w:r>
        <w:rPr>
          <w:rStyle w:val="Char9"/>
          <w:rFonts w:hint="cs"/>
          <w:sz w:val="20"/>
          <w:szCs w:val="20"/>
          <w:rtl/>
        </w:rPr>
        <w:t>ی</w:t>
      </w:r>
      <w:r w:rsidRPr="008C7124">
        <w:rPr>
          <w:rStyle w:val="Char9"/>
          <w:rFonts w:hint="cs"/>
          <w:sz w:val="20"/>
          <w:szCs w:val="20"/>
          <w:rtl/>
        </w:rPr>
        <w:t>اران امام... قامت استوار</w:t>
      </w:r>
      <w:r w:rsidRPr="006E28E9">
        <w:rPr>
          <w:rFonts w:hint="cs"/>
          <w:rtl/>
          <w:lang w:bidi="ar-SY"/>
        </w:rPr>
        <w:t xml:space="preserve"> [أصحاب الإمام... الهامة المرفوعة]، ج 1، ص 308 - 311. وقد قال في أحد الموارد: الناس مشغولون اليوم بلطم صدورهم والبكاء والنياحة ولا يتركون هذا الشعب يدرك المعنى الأساسي للدين. (</w:t>
      </w:r>
      <w:r w:rsidRPr="006E28E9">
        <w:rPr>
          <w:rFonts w:hint="cs"/>
          <w:b/>
          <w:bCs/>
          <w:rtl/>
          <w:lang w:bidi="ar-SY"/>
        </w:rPr>
        <w:t>المصدر نفسه</w:t>
      </w:r>
      <w:r w:rsidRPr="006E28E9">
        <w:rPr>
          <w:rFonts w:hint="cs"/>
          <w:rtl/>
          <w:lang w:bidi="ar-SY"/>
        </w:rPr>
        <w:t>، ص 370).</w:t>
      </w:r>
    </w:p>
  </w:footnote>
  <w:footnote w:id="409">
    <w:p w:rsidR="008C7124" w:rsidRPr="006E28E9" w:rsidRDefault="008C7124" w:rsidP="0092648A">
      <w:pPr>
        <w:pStyle w:val="FootnoteText"/>
        <w:rPr>
          <w:rStyle w:val="FootnoteReference"/>
          <w:vertAlign w:val="baseline"/>
          <w:lang w:bidi="ar-SY"/>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امام خم</w:t>
      </w:r>
      <w:r>
        <w:rPr>
          <w:rStyle w:val="Char9"/>
          <w:rFonts w:hint="cs"/>
          <w:sz w:val="20"/>
          <w:szCs w:val="20"/>
          <w:rtl/>
        </w:rPr>
        <w:t>ی</w:t>
      </w:r>
      <w:r w:rsidRPr="008C7124">
        <w:rPr>
          <w:rStyle w:val="Char9"/>
          <w:rFonts w:hint="cs"/>
          <w:sz w:val="20"/>
          <w:szCs w:val="20"/>
          <w:rtl/>
        </w:rPr>
        <w:t>نى در آ</w:t>
      </w:r>
      <w:r>
        <w:rPr>
          <w:rStyle w:val="Char9"/>
          <w:rFonts w:hint="cs"/>
          <w:sz w:val="20"/>
          <w:szCs w:val="20"/>
          <w:rtl/>
        </w:rPr>
        <w:t>ی</w:t>
      </w:r>
      <w:r w:rsidRPr="008C7124">
        <w:rPr>
          <w:rStyle w:val="Char9"/>
          <w:rFonts w:hint="cs"/>
          <w:sz w:val="20"/>
          <w:szCs w:val="20"/>
          <w:rtl/>
        </w:rPr>
        <w:t>نه اسناد</w:t>
      </w:r>
      <w:r w:rsidRPr="006E28E9">
        <w:rPr>
          <w:rFonts w:hint="cs"/>
          <w:rtl/>
          <w:lang w:bidi="ar-SY"/>
        </w:rPr>
        <w:t xml:space="preserve"> [الإمام الخميني في مرآة الوثائق]، ج 17، ص 246.</w:t>
      </w:r>
    </w:p>
  </w:footnote>
  <w:footnote w:id="41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امام خم</w:t>
      </w:r>
      <w:r>
        <w:rPr>
          <w:rStyle w:val="Char9"/>
          <w:rFonts w:hint="cs"/>
          <w:sz w:val="20"/>
          <w:szCs w:val="20"/>
          <w:rtl/>
        </w:rPr>
        <w:t>ی</w:t>
      </w:r>
      <w:r w:rsidRPr="008C7124">
        <w:rPr>
          <w:rStyle w:val="Char9"/>
          <w:rFonts w:hint="cs"/>
          <w:sz w:val="20"/>
          <w:szCs w:val="20"/>
          <w:rtl/>
        </w:rPr>
        <w:t>نى در آ</w:t>
      </w:r>
      <w:r>
        <w:rPr>
          <w:rStyle w:val="Char9"/>
          <w:rFonts w:hint="cs"/>
          <w:sz w:val="20"/>
          <w:szCs w:val="20"/>
          <w:rtl/>
        </w:rPr>
        <w:t>ی</w:t>
      </w:r>
      <w:r w:rsidRPr="008C7124">
        <w:rPr>
          <w:rStyle w:val="Char9"/>
          <w:rFonts w:hint="cs"/>
          <w:sz w:val="20"/>
          <w:szCs w:val="20"/>
          <w:rtl/>
        </w:rPr>
        <w:t>نه اسناد</w:t>
      </w:r>
      <w:r w:rsidRPr="006E28E9">
        <w:rPr>
          <w:rFonts w:hint="cs"/>
          <w:rtl/>
          <w:lang w:bidi="ar-SY"/>
        </w:rPr>
        <w:t xml:space="preserve"> [الإمام الخميني في مرآة الوثائق]، ج 17، ص 247.</w:t>
      </w:r>
    </w:p>
  </w:footnote>
  <w:footnote w:id="41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امام خم</w:t>
      </w:r>
      <w:r>
        <w:rPr>
          <w:rStyle w:val="Char9"/>
          <w:rFonts w:hint="cs"/>
          <w:sz w:val="20"/>
          <w:szCs w:val="20"/>
          <w:rtl/>
        </w:rPr>
        <w:t>ی</w:t>
      </w:r>
      <w:r w:rsidRPr="008C7124">
        <w:rPr>
          <w:rStyle w:val="Char9"/>
          <w:rFonts w:hint="cs"/>
          <w:sz w:val="20"/>
          <w:szCs w:val="20"/>
          <w:rtl/>
        </w:rPr>
        <w:t>نى در آ</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مرأة الوثائق]، ج 17، ص 252 - 254.</w:t>
      </w:r>
    </w:p>
  </w:footnote>
  <w:footnote w:id="41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انظروا: </w:t>
      </w:r>
      <w:r w:rsidRPr="008C7124">
        <w:rPr>
          <w:rStyle w:val="Char9"/>
          <w:rFonts w:hint="cs"/>
          <w:sz w:val="20"/>
          <w:szCs w:val="20"/>
          <w:rtl/>
        </w:rPr>
        <w:t>توطئه شاه بر ضد امام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6E28E9">
        <w:rPr>
          <w:rFonts w:hint="cs"/>
          <w:rtl/>
        </w:rPr>
        <w:t xml:space="preserve"> [مؤامرة الشاه ضد الإمام الخميني]، ص 104.</w:t>
      </w:r>
    </w:p>
  </w:footnote>
  <w:footnote w:id="41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w:t>
      </w:r>
      <w:r w:rsidRPr="006E28E9">
        <w:rPr>
          <w:rFonts w:hint="cs"/>
          <w:rtl/>
        </w:rPr>
        <w:t xml:space="preserve">، ج 1 ، ص 384. </w:t>
      </w:r>
    </w:p>
  </w:footnote>
  <w:footnote w:id="41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w:t>
      </w:r>
      <w:r w:rsidRPr="006E28E9">
        <w:rPr>
          <w:rStyle w:val="FootnoteReference"/>
          <w:vertAlign w:val="baseline"/>
          <w:rtl/>
        </w:rPr>
        <w:t xml:space="preserve"> </w:t>
      </w:r>
      <w:r w:rsidRPr="006E28E9">
        <w:rPr>
          <w:rStyle w:val="FootnoteReference"/>
          <w:rFonts w:hint="cs"/>
          <w:vertAlign w:val="baseline"/>
          <w:rtl/>
        </w:rPr>
        <w:t>انظروا ن</w:t>
      </w:r>
      <w:r w:rsidRPr="006E28E9">
        <w:rPr>
          <w:rFonts w:hint="cs"/>
          <w:rtl/>
        </w:rPr>
        <w:t>ص</w:t>
      </w:r>
      <w:r w:rsidRPr="006E28E9">
        <w:rPr>
          <w:rStyle w:val="FootnoteReference"/>
          <w:rFonts w:hint="cs"/>
          <w:vertAlign w:val="baseline"/>
          <w:rtl/>
        </w:rPr>
        <w:t xml:space="preserve"> الرسالة في</w:t>
      </w:r>
      <w:r w:rsidRPr="006E28E9">
        <w:rPr>
          <w:rFonts w:hint="cs"/>
          <w:rtl/>
        </w:rPr>
        <w:t xml:space="preserve"> كتاب:</w:t>
      </w:r>
      <w:r w:rsidRPr="006E28E9">
        <w:rPr>
          <w:rStyle w:val="FootnoteReference"/>
          <w:rFonts w:hint="cs"/>
          <w:vertAlign w:val="baseline"/>
          <w:rtl/>
        </w:rPr>
        <w:t xml:space="preserve"> </w:t>
      </w:r>
      <w:r w:rsidRPr="008C7124">
        <w:rPr>
          <w:rStyle w:val="Char9"/>
          <w:rFonts w:hint="cs"/>
          <w:sz w:val="20"/>
          <w:szCs w:val="20"/>
          <w:rtl/>
        </w:rPr>
        <w:t xml:space="preserve">داستان </w:t>
      </w:r>
      <w:r>
        <w:rPr>
          <w:rStyle w:val="Char9"/>
          <w:rFonts w:hint="cs"/>
          <w:sz w:val="20"/>
          <w:szCs w:val="20"/>
          <w:rtl/>
        </w:rPr>
        <w:t>ک</w:t>
      </w:r>
      <w:r w:rsidRPr="008C7124">
        <w:rPr>
          <w:rStyle w:val="Char9"/>
          <w:rFonts w:hint="cs"/>
          <w:sz w:val="20"/>
          <w:szCs w:val="20"/>
          <w:rtl/>
        </w:rPr>
        <w:t>تاب شه</w:t>
      </w:r>
      <w:r>
        <w:rPr>
          <w:rStyle w:val="Char9"/>
          <w:rFonts w:hint="cs"/>
          <w:sz w:val="20"/>
          <w:szCs w:val="20"/>
          <w:rtl/>
        </w:rPr>
        <w:t>ی</w:t>
      </w:r>
      <w:r w:rsidRPr="008C7124">
        <w:rPr>
          <w:rStyle w:val="Char9"/>
          <w:rFonts w:hint="cs"/>
          <w:sz w:val="20"/>
          <w:szCs w:val="20"/>
          <w:rtl/>
        </w:rPr>
        <w:t>د جاو</w:t>
      </w:r>
      <w:r>
        <w:rPr>
          <w:rStyle w:val="Char9"/>
          <w:rFonts w:hint="cs"/>
          <w:sz w:val="20"/>
          <w:szCs w:val="20"/>
          <w:rtl/>
        </w:rPr>
        <w:t>ی</w:t>
      </w:r>
      <w:r w:rsidRPr="008C7124">
        <w:rPr>
          <w:rStyle w:val="Char9"/>
          <w:rFonts w:hint="cs"/>
          <w:sz w:val="20"/>
          <w:szCs w:val="20"/>
          <w:rtl/>
        </w:rPr>
        <w:t>د</w:t>
      </w:r>
      <w:r w:rsidRPr="006E28E9">
        <w:rPr>
          <w:rStyle w:val="FootnoteReference"/>
          <w:rFonts w:hint="cs"/>
          <w:vertAlign w:val="baseline"/>
          <w:rtl/>
        </w:rPr>
        <w:t xml:space="preserve"> [قصة كتاب الشهيد الخالد]، ص 183-188.</w:t>
      </w:r>
    </w:p>
  </w:footnote>
  <w:footnote w:id="41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الكتب الثلاثة الأخيرة سبق أن ذكرها المؤلف أعلاه، ورقَّمتُها، لذا لم أعِد ترقيمها هنا. (المُتَرْجِمُ)</w:t>
      </w:r>
    </w:p>
  </w:footnote>
  <w:footnote w:id="41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حتى </w:t>
      </w:r>
      <w:r w:rsidRPr="006E28E9">
        <w:rPr>
          <w:rStyle w:val="FootnoteReference"/>
          <w:rFonts w:hint="cs"/>
          <w:vertAlign w:val="baseline"/>
          <w:rtl/>
        </w:rPr>
        <w:t>ب</w:t>
      </w:r>
      <w:r w:rsidRPr="006E28E9">
        <w:rPr>
          <w:rFonts w:hint="cs"/>
          <w:rtl/>
        </w:rPr>
        <w:t>عض</w:t>
      </w:r>
      <w:r w:rsidRPr="006E28E9">
        <w:rPr>
          <w:rStyle w:val="FootnoteReference"/>
          <w:rFonts w:hint="cs"/>
          <w:vertAlign w:val="baseline"/>
          <w:rtl/>
        </w:rPr>
        <w:t xml:space="preserve"> الوجوه العلمية مثل المرحوم محمد تقي شريعتي</w:t>
      </w:r>
      <w:r w:rsidRPr="006E28E9">
        <w:rPr>
          <w:rFonts w:hint="cs"/>
          <w:rtl/>
        </w:rPr>
        <w:t xml:space="preserve"> كان من منتقدي كتاب شهيد جاويد</w:t>
      </w:r>
      <w:r w:rsidRPr="006E28E9">
        <w:rPr>
          <w:rStyle w:val="FootnoteReference"/>
          <w:rFonts w:hint="cs"/>
          <w:vertAlign w:val="baseline"/>
          <w:rtl/>
        </w:rPr>
        <w:t>، فقد كتب لي رسالة</w:t>
      </w:r>
      <w:r w:rsidRPr="006E28E9">
        <w:rPr>
          <w:rFonts w:hint="cs"/>
          <w:rtl/>
        </w:rPr>
        <w:t>ً</w:t>
      </w:r>
      <w:r w:rsidRPr="006E28E9">
        <w:rPr>
          <w:rStyle w:val="FootnoteReference"/>
          <w:rFonts w:hint="cs"/>
          <w:vertAlign w:val="baseline"/>
          <w:rtl/>
        </w:rPr>
        <w:t xml:space="preserve"> قال فيها: كنت على وشك السفر إلى الحج مع قافلة حسينية الإرشاد، فأعطاني الشيخ صالحي نجف آبادي كتابه الذي لم يكن قد طُبع بعد كي أقرأه، فقرأت</w:t>
      </w:r>
      <w:r w:rsidRPr="006E28E9">
        <w:rPr>
          <w:rFonts w:hint="cs"/>
          <w:rtl/>
        </w:rPr>
        <w:t>ُ</w:t>
      </w:r>
      <w:r w:rsidRPr="006E28E9">
        <w:rPr>
          <w:rStyle w:val="FootnoteReference"/>
          <w:rFonts w:hint="cs"/>
          <w:vertAlign w:val="baseline"/>
          <w:rtl/>
        </w:rPr>
        <w:t>ه</w:t>
      </w:r>
      <w:r w:rsidRPr="006E28E9">
        <w:rPr>
          <w:rFonts w:hint="cs"/>
          <w:rtl/>
        </w:rPr>
        <w:t>ُ</w:t>
      </w:r>
      <w:r w:rsidRPr="006E28E9">
        <w:rPr>
          <w:rStyle w:val="FootnoteReference"/>
          <w:rFonts w:hint="cs"/>
          <w:vertAlign w:val="baseline"/>
          <w:rtl/>
        </w:rPr>
        <w:t xml:space="preserve"> في تلك الرحلة، وبعد الرحلة جاءني إلى المنزل فقلت له: إن كتابك كتاب تحقيقي وعلمي، لقد قرأتَ المصادر بشكل جيد، وحللتَها بشكل جيد، ولكنني ليست متفقًا معك في المقدمات التي ذكرتها ولا في النتائج التي استنتجتها منها. أحياناً لم يكن تعبيرك عنها جيد</w:t>
      </w:r>
      <w:r w:rsidRPr="006E28E9">
        <w:rPr>
          <w:rFonts w:hint="cs"/>
          <w:rtl/>
        </w:rPr>
        <w:t>ً</w:t>
      </w:r>
      <w:r w:rsidRPr="006E28E9">
        <w:rPr>
          <w:rStyle w:val="FootnoteReference"/>
          <w:rFonts w:hint="cs"/>
          <w:vertAlign w:val="baseline"/>
          <w:rtl/>
        </w:rPr>
        <w:t>ا، وقد قلتُ هذا لابني علي (يقصد ابنه علي شريعتي). إن العدو لا يحب هذا النوع من الأفكار، أي الفكر الذي يخلق حركةً ويوجد وعيًا ويقظةً، ويسعى إلى إجهاضه قبل أن يولد والقضاء عليه، ولكن استخدام مثل هذه التعبيرات يماثل إعطاءك مطرقةً للعدو وقولك له اضرب بها رأسي، اترك العدو ينفق جزءًا من وقته على العثور على المطرقة، ولا تساعد العدو بنوع الكتابات التي تكتبها.</w:t>
      </w:r>
      <w:r w:rsidRPr="006E28E9">
        <w:rPr>
          <w:rStyle w:val="FootnoteReference"/>
          <w:vertAlign w:val="baseline"/>
          <w:rtl/>
        </w:rPr>
        <w:t xml:space="preserve"> </w:t>
      </w:r>
    </w:p>
  </w:footnote>
  <w:footnote w:id="41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طاهر</w:t>
      </w:r>
      <w:r>
        <w:rPr>
          <w:rStyle w:val="Char9"/>
          <w:rFonts w:hint="cs"/>
          <w:sz w:val="20"/>
          <w:szCs w:val="20"/>
          <w:rtl/>
        </w:rPr>
        <w:t>ی</w:t>
      </w:r>
      <w:r w:rsidRPr="008C7124">
        <w:rPr>
          <w:rStyle w:val="Char9"/>
          <w:rFonts w:hint="cs"/>
          <w:sz w:val="20"/>
          <w:szCs w:val="20"/>
          <w:rtl/>
        </w:rPr>
        <w:t xml:space="preserve"> خرم آباد</w:t>
      </w:r>
      <w:r>
        <w:rPr>
          <w:rStyle w:val="Char9"/>
          <w:rFonts w:hint="cs"/>
          <w:sz w:val="20"/>
          <w:szCs w:val="20"/>
          <w:rtl/>
        </w:rPr>
        <w:t>ی</w:t>
      </w:r>
      <w:r w:rsidRPr="006E28E9">
        <w:rPr>
          <w:rStyle w:val="FootnoteReference"/>
          <w:rFonts w:hint="cs"/>
          <w:vertAlign w:val="baseline"/>
          <w:rtl/>
        </w:rPr>
        <w:t>، ص 103.</w:t>
      </w:r>
      <w:r w:rsidRPr="006E28E9">
        <w:rPr>
          <w:rStyle w:val="FootnoteReference"/>
          <w:vertAlign w:val="baseline"/>
          <w:rtl/>
        </w:rPr>
        <w:t xml:space="preserve"> </w:t>
      </w:r>
    </w:p>
  </w:footnote>
  <w:footnote w:id="41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توطئه شاه بر ضد امام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6E28E9">
        <w:rPr>
          <w:rStyle w:val="FootnoteReference"/>
          <w:rFonts w:hint="cs"/>
          <w:vertAlign w:val="baseline"/>
          <w:rtl/>
        </w:rPr>
        <w:t xml:space="preserve"> [مؤمرة الشاه ض</w:t>
      </w:r>
      <w:r w:rsidRPr="006E28E9">
        <w:rPr>
          <w:rFonts w:hint="cs"/>
          <w:rtl/>
        </w:rPr>
        <w:t>د</w:t>
      </w:r>
      <w:r w:rsidRPr="006E28E9">
        <w:rPr>
          <w:rStyle w:val="FootnoteReference"/>
          <w:rFonts w:hint="cs"/>
          <w:vertAlign w:val="baseline"/>
          <w:rtl/>
        </w:rPr>
        <w:t xml:space="preserve"> الإمام الخميني]، صص 184-185</w:t>
      </w:r>
      <w:r w:rsidRPr="006E28E9">
        <w:rPr>
          <w:rFonts w:hint="cs"/>
          <w:rtl/>
        </w:rPr>
        <w:t xml:space="preserve">. </w:t>
      </w:r>
      <w:r w:rsidRPr="006E28E9">
        <w:rPr>
          <w:rStyle w:val="FootnoteReference"/>
          <w:rFonts w:hint="cs"/>
          <w:vertAlign w:val="baseline"/>
          <w:rtl/>
        </w:rPr>
        <w:t>(ومؤخَّرًا، أي في سنة 1380هـ.ش/2001م- ط</w:t>
      </w:r>
      <w:r w:rsidRPr="006E28E9">
        <w:rPr>
          <w:rFonts w:hint="cs"/>
          <w:rtl/>
        </w:rPr>
        <w:t>ُبِعَ</w:t>
      </w:r>
      <w:r w:rsidRPr="006E28E9">
        <w:rPr>
          <w:rStyle w:val="FootnoteReference"/>
          <w:rFonts w:hint="cs"/>
          <w:vertAlign w:val="baseline"/>
          <w:rtl/>
        </w:rPr>
        <w:t xml:space="preserve"> كتاب صالحي نجف آبادي الذي ألفه ر</w:t>
      </w:r>
      <w:r w:rsidRPr="006E28E9">
        <w:rPr>
          <w:rFonts w:hint="cs"/>
          <w:rtl/>
        </w:rPr>
        <w:t>دًّا</w:t>
      </w:r>
      <w:r w:rsidRPr="006E28E9">
        <w:rPr>
          <w:rStyle w:val="FootnoteReference"/>
          <w:rFonts w:hint="cs"/>
          <w:vertAlign w:val="baseline"/>
          <w:rtl/>
        </w:rPr>
        <w:t xml:space="preserve"> على منتقدي كتابه الشهيد الخالد</w:t>
      </w:r>
      <w:r w:rsidRPr="006E28E9">
        <w:rPr>
          <w:rFonts w:hint="cs"/>
          <w:rtl/>
        </w:rPr>
        <w:t>،</w:t>
      </w:r>
      <w:r w:rsidRPr="006E28E9">
        <w:rPr>
          <w:rStyle w:val="FootnoteReference"/>
          <w:rFonts w:hint="cs"/>
          <w:vertAlign w:val="baseline"/>
          <w:rtl/>
        </w:rPr>
        <w:t xml:space="preserve"> تحت عنوان </w:t>
      </w:r>
      <w:r w:rsidRPr="006E28E9">
        <w:rPr>
          <w:rStyle w:val="FootnoteReference"/>
          <w:rFonts w:hint="eastAsia"/>
          <w:vertAlign w:val="baseline"/>
          <w:rtl/>
        </w:rPr>
        <w:t>«</w:t>
      </w:r>
      <w:r w:rsidRPr="008C7124">
        <w:rPr>
          <w:rStyle w:val="Char9"/>
          <w:rFonts w:hint="eastAsia"/>
          <w:sz w:val="20"/>
          <w:szCs w:val="20"/>
          <w:rtl/>
        </w:rPr>
        <w:t>ع</w:t>
      </w:r>
      <w:r w:rsidRPr="008C7124">
        <w:rPr>
          <w:rStyle w:val="Char9"/>
          <w:rFonts w:hint="cs"/>
          <w:sz w:val="20"/>
          <w:szCs w:val="20"/>
          <w:rtl/>
        </w:rPr>
        <w:t>صا</w:t>
      </w:r>
      <w:r>
        <w:rPr>
          <w:rStyle w:val="Char9"/>
          <w:rFonts w:hint="cs"/>
          <w:sz w:val="20"/>
          <w:szCs w:val="20"/>
          <w:rtl/>
        </w:rPr>
        <w:t>ی</w:t>
      </w:r>
      <w:r w:rsidRPr="008C7124">
        <w:rPr>
          <w:rStyle w:val="Char9"/>
          <w:rFonts w:hint="cs"/>
          <w:sz w:val="20"/>
          <w:szCs w:val="20"/>
          <w:rtl/>
        </w:rPr>
        <w:t xml:space="preserve"> موسى </w:t>
      </w:r>
      <w:r>
        <w:rPr>
          <w:rStyle w:val="Char9"/>
          <w:rFonts w:hint="cs"/>
          <w:sz w:val="20"/>
          <w:szCs w:val="20"/>
          <w:rtl/>
        </w:rPr>
        <w:t>ی</w:t>
      </w:r>
      <w:r w:rsidRPr="008C7124">
        <w:rPr>
          <w:rStyle w:val="Char9"/>
          <w:rFonts w:hint="cs"/>
          <w:sz w:val="20"/>
          <w:szCs w:val="20"/>
          <w:rtl/>
        </w:rPr>
        <w:t>ا درمان ب</w:t>
      </w:r>
      <w:r>
        <w:rPr>
          <w:rStyle w:val="Char9"/>
          <w:rFonts w:hint="cs"/>
          <w:sz w:val="20"/>
          <w:szCs w:val="20"/>
          <w:rtl/>
        </w:rPr>
        <w:t>ی</w:t>
      </w:r>
      <w:r w:rsidRPr="008C7124">
        <w:rPr>
          <w:rStyle w:val="Char9"/>
          <w:rFonts w:hint="cs"/>
          <w:sz w:val="20"/>
          <w:szCs w:val="20"/>
          <w:rtl/>
        </w:rPr>
        <w:t>مار</w:t>
      </w:r>
      <w:r>
        <w:rPr>
          <w:rStyle w:val="Char9"/>
          <w:rFonts w:hint="cs"/>
          <w:sz w:val="20"/>
          <w:szCs w:val="20"/>
          <w:rtl/>
        </w:rPr>
        <w:t>ی</w:t>
      </w:r>
      <w:r w:rsidRPr="008C7124">
        <w:rPr>
          <w:rStyle w:val="Char9"/>
          <w:rFonts w:hint="cs"/>
          <w:sz w:val="20"/>
          <w:szCs w:val="20"/>
          <w:rtl/>
        </w:rPr>
        <w:t xml:space="preserve"> غلو</w:t>
      </w:r>
      <w:r w:rsidRPr="006E28E9">
        <w:rPr>
          <w:rStyle w:val="FootnoteReference"/>
          <w:rFonts w:hint="eastAsia"/>
          <w:vertAlign w:val="baseline"/>
          <w:rtl/>
        </w:rPr>
        <w:t xml:space="preserve">» </w:t>
      </w:r>
      <w:r w:rsidRPr="006E28E9">
        <w:rPr>
          <w:rStyle w:val="FootnoteReference"/>
          <w:rFonts w:hint="cs"/>
          <w:vertAlign w:val="baseline"/>
          <w:rtl/>
        </w:rPr>
        <w:t>[عصى موسى أو علاج مرض الغلو]</w:t>
      </w:r>
      <w:r w:rsidRPr="006E28E9">
        <w:rPr>
          <w:rFonts w:hint="cs"/>
          <w:rtl/>
        </w:rPr>
        <w:t>،</w:t>
      </w:r>
      <w:r w:rsidRPr="006E28E9">
        <w:rPr>
          <w:rStyle w:val="FootnoteReference"/>
          <w:rFonts w:hint="cs"/>
          <w:vertAlign w:val="baseline"/>
          <w:rtl/>
        </w:rPr>
        <w:t xml:space="preserve"> أي </w:t>
      </w:r>
      <w:r w:rsidRPr="006E28E9">
        <w:rPr>
          <w:rFonts w:hint="cs"/>
          <w:rtl/>
        </w:rPr>
        <w:t>ال</w:t>
      </w:r>
      <w:r w:rsidRPr="006E28E9">
        <w:rPr>
          <w:rStyle w:val="FootnoteReference"/>
          <w:rFonts w:hint="cs"/>
          <w:vertAlign w:val="baseline"/>
          <w:rtl/>
        </w:rPr>
        <w:t>ع</w:t>
      </w:r>
      <w:r w:rsidRPr="006E28E9">
        <w:rPr>
          <w:rFonts w:hint="cs"/>
          <w:rtl/>
        </w:rPr>
        <w:t xml:space="preserve">نوان </w:t>
      </w:r>
      <w:r w:rsidRPr="006E28E9">
        <w:rPr>
          <w:rStyle w:val="FootnoteReference"/>
          <w:rFonts w:hint="cs"/>
          <w:vertAlign w:val="baseline"/>
          <w:rtl/>
        </w:rPr>
        <w:t>القديم ذاته</w:t>
      </w:r>
      <w:r w:rsidRPr="006E28E9">
        <w:rPr>
          <w:rFonts w:hint="cs"/>
          <w:rtl/>
        </w:rPr>
        <w:t xml:space="preserve"> للكتاب</w:t>
      </w:r>
      <w:r w:rsidRPr="006E28E9">
        <w:rPr>
          <w:rStyle w:val="FootnoteReference"/>
          <w:rFonts w:hint="cs"/>
          <w:vertAlign w:val="baseline"/>
          <w:rtl/>
        </w:rPr>
        <w:t>، في قم، دار اميد فردا)، انظروا إلى تقييم الم</w:t>
      </w:r>
      <w:r w:rsidRPr="006E28E9">
        <w:rPr>
          <w:rFonts w:hint="cs"/>
          <w:rtl/>
        </w:rPr>
        <w:t>ُ</w:t>
      </w:r>
      <w:r w:rsidRPr="006E28E9">
        <w:rPr>
          <w:rStyle w:val="FootnoteReference"/>
          <w:rFonts w:hint="cs"/>
          <w:vertAlign w:val="baseline"/>
          <w:rtl/>
        </w:rPr>
        <w:t xml:space="preserve">قَيِّمين في مؤسسة الثقافة والفن لهذا الكتاب في: </w:t>
      </w:r>
      <w:r w:rsidRPr="008C7124">
        <w:rPr>
          <w:rStyle w:val="Char9"/>
          <w:rFonts w:hint="cs"/>
          <w:sz w:val="20"/>
          <w:szCs w:val="20"/>
          <w:rtl/>
        </w:rPr>
        <w:t>سانسور در آ</w:t>
      </w:r>
      <w:r>
        <w:rPr>
          <w:rStyle w:val="Char9"/>
          <w:rFonts w:hint="cs"/>
          <w:sz w:val="20"/>
          <w:szCs w:val="20"/>
          <w:rtl/>
        </w:rPr>
        <w:t>ی</w:t>
      </w:r>
      <w:r w:rsidRPr="008C7124">
        <w:rPr>
          <w:rStyle w:val="Char9"/>
          <w:rFonts w:hint="cs"/>
          <w:sz w:val="20"/>
          <w:szCs w:val="20"/>
          <w:rtl/>
        </w:rPr>
        <w:t>نه</w:t>
      </w:r>
      <w:r w:rsidRPr="006E28E9">
        <w:rPr>
          <w:rStyle w:val="FootnoteReference"/>
          <w:rFonts w:hint="cs"/>
          <w:vertAlign w:val="baseline"/>
          <w:rtl/>
        </w:rPr>
        <w:t xml:space="preserve"> [الرقابة في المرآة]، ص 579.</w:t>
      </w:r>
    </w:p>
  </w:footnote>
  <w:footnote w:id="41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 xml:space="preserve">ت الله محمد </w:t>
      </w:r>
      <w:r>
        <w:rPr>
          <w:rStyle w:val="Char9"/>
          <w:rFonts w:hint="cs"/>
          <w:sz w:val="20"/>
          <w:szCs w:val="20"/>
          <w:rtl/>
        </w:rPr>
        <w:t>ی</w:t>
      </w:r>
      <w:r w:rsidRPr="008C7124">
        <w:rPr>
          <w:rStyle w:val="Char9"/>
          <w:rFonts w:hint="cs"/>
          <w:sz w:val="20"/>
          <w:szCs w:val="20"/>
          <w:rtl/>
        </w:rPr>
        <w:t>زد</w:t>
      </w:r>
      <w:r>
        <w:rPr>
          <w:rStyle w:val="Char9"/>
          <w:rFonts w:hint="cs"/>
          <w:sz w:val="20"/>
          <w:szCs w:val="20"/>
          <w:rtl/>
        </w:rPr>
        <w:t>ی</w:t>
      </w:r>
      <w:r w:rsidRPr="006E28E9">
        <w:rPr>
          <w:rStyle w:val="FootnoteReference"/>
          <w:rFonts w:hint="cs"/>
          <w:vertAlign w:val="baseline"/>
          <w:rtl/>
        </w:rPr>
        <w:t xml:space="preserve"> [مذك</w:t>
      </w:r>
      <w:r w:rsidRPr="006E28E9">
        <w:rPr>
          <w:rFonts w:hint="cs"/>
          <w:rtl/>
        </w:rPr>
        <w:t>ّ</w:t>
      </w:r>
      <w:r w:rsidRPr="006E28E9">
        <w:rPr>
          <w:rStyle w:val="FootnoteReference"/>
          <w:rFonts w:hint="cs"/>
          <w:vertAlign w:val="baseline"/>
          <w:rtl/>
        </w:rPr>
        <w:t>رات آية الله محمد يزدي]، ص 229-230.</w:t>
      </w:r>
      <w:r w:rsidRPr="006E28E9">
        <w:rPr>
          <w:rStyle w:val="FootnoteReference"/>
          <w:vertAlign w:val="baseline"/>
          <w:rtl/>
        </w:rPr>
        <w:t xml:space="preserve"> </w:t>
      </w:r>
    </w:p>
  </w:footnote>
  <w:footnote w:id="42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السيد آله طه أحد خطباء المنابر الذين اتخذوا مواقف عديدة ضد كتاب الشهيد الخالد، من جملة ذلك أنه جاء في إحدى الوثائق أنه قام برفقة عدد من خطباء المنابر في قم بإعداد نصٍّ وأرسلوه إلى آية الله السيد أبو الحسن القزويني، فكتب الأخير أمور</w:t>
      </w:r>
      <w:r w:rsidRPr="006E28E9">
        <w:rPr>
          <w:rFonts w:hint="cs"/>
          <w:rtl/>
        </w:rPr>
        <w:t>ً</w:t>
      </w:r>
      <w:r w:rsidRPr="006E28E9">
        <w:rPr>
          <w:rStyle w:val="FootnoteReference"/>
          <w:rFonts w:hint="cs"/>
          <w:vertAlign w:val="baseline"/>
          <w:rtl/>
        </w:rPr>
        <w:t>ا ضد</w:t>
      </w:r>
      <w:r w:rsidRPr="006E28E9">
        <w:rPr>
          <w:rFonts w:hint="cs"/>
          <w:rtl/>
        </w:rPr>
        <w:t>ّ</w:t>
      </w:r>
      <w:r w:rsidRPr="006E28E9">
        <w:rPr>
          <w:rStyle w:val="FootnoteReference"/>
          <w:rFonts w:hint="cs"/>
          <w:vertAlign w:val="baseline"/>
          <w:rtl/>
        </w:rPr>
        <w:t xml:space="preserve"> كتاب الشهيد الخالد تم</w:t>
      </w:r>
      <w:r w:rsidRPr="006E28E9">
        <w:rPr>
          <w:rFonts w:hint="cs"/>
          <w:rtl/>
        </w:rPr>
        <w:t>َّ</w:t>
      </w:r>
      <w:r w:rsidRPr="006E28E9">
        <w:rPr>
          <w:rStyle w:val="FootnoteReference"/>
          <w:rFonts w:hint="cs"/>
          <w:vertAlign w:val="baseline"/>
          <w:rtl/>
        </w:rPr>
        <w:t xml:space="preserve"> توزيعها في قم، انظروا: </w:t>
      </w:r>
      <w:r w:rsidRPr="008C7124">
        <w:rPr>
          <w:rStyle w:val="Char9"/>
          <w:rFonts w:hint="cs"/>
          <w:sz w:val="20"/>
          <w:szCs w:val="20"/>
          <w:rtl/>
        </w:rPr>
        <w:t>آ</w:t>
      </w:r>
      <w:r>
        <w:rPr>
          <w:rStyle w:val="Char9"/>
          <w:rFonts w:hint="cs"/>
          <w:sz w:val="20"/>
          <w:szCs w:val="20"/>
          <w:rtl/>
        </w:rPr>
        <w:t>ی</w:t>
      </w:r>
      <w:r w:rsidRPr="008C7124">
        <w:rPr>
          <w:rStyle w:val="Char9"/>
          <w:rFonts w:hint="cs"/>
          <w:sz w:val="20"/>
          <w:szCs w:val="20"/>
          <w:rtl/>
        </w:rPr>
        <w:t>ت الله گلبا</w:t>
      </w:r>
      <w:r>
        <w:rPr>
          <w:rStyle w:val="Char9"/>
          <w:rFonts w:hint="cs"/>
          <w:sz w:val="20"/>
          <w:szCs w:val="20"/>
          <w:rtl/>
        </w:rPr>
        <w:t>ی</w:t>
      </w:r>
      <w:r w:rsidRPr="008C7124">
        <w:rPr>
          <w:rStyle w:val="Char9"/>
          <w:rFonts w:hint="cs"/>
          <w:sz w:val="20"/>
          <w:szCs w:val="20"/>
          <w:rtl/>
        </w:rPr>
        <w:t>گان</w:t>
      </w:r>
      <w:r>
        <w:rPr>
          <w:rStyle w:val="Char9"/>
          <w:rFonts w:hint="cs"/>
          <w:sz w:val="20"/>
          <w:szCs w:val="20"/>
          <w:rtl/>
        </w:rPr>
        <w:t>ی</w:t>
      </w:r>
      <w:r w:rsidRPr="008C7124">
        <w:rPr>
          <w:rStyle w:val="Char9"/>
          <w:rFonts w:hint="cs"/>
          <w:sz w:val="20"/>
          <w:szCs w:val="20"/>
          <w:rtl/>
        </w:rPr>
        <w:t xml:space="preserve">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[آية الله الكلبايكاني برواية وثائق السافاك]، ج 3، ص 17. </w:t>
      </w:r>
    </w:p>
  </w:footnote>
  <w:footnote w:id="421">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Style w:val="FootnoteReference"/>
          <w:rFonts w:hint="cs"/>
          <w:b/>
          <w:bCs/>
          <w:vertAlign w:val="baseline"/>
          <w:rtl/>
        </w:rPr>
        <w:t>المصدر نفسه</w:t>
      </w:r>
      <w:r w:rsidRPr="006E28E9">
        <w:rPr>
          <w:rStyle w:val="FootnoteReference"/>
          <w:rFonts w:hint="cs"/>
          <w:vertAlign w:val="baseline"/>
          <w:rtl/>
        </w:rPr>
        <w:t>، ص 234.</w:t>
      </w:r>
      <w:r w:rsidRPr="006E28E9">
        <w:rPr>
          <w:rStyle w:val="FootnoteReference"/>
          <w:vertAlign w:val="baseline"/>
          <w:rtl/>
        </w:rPr>
        <w:t xml:space="preserve"> </w:t>
      </w:r>
    </w:p>
  </w:footnote>
  <w:footnote w:id="422">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الدكتور حميد عنايت (1932-1982م) أستاذ العلوم السياسية في إيران، كان من معارضي الشاه محمد رضا بهلوي ومؤيدي حركة مصدق. نال الدكتوراه في العلوم السياسية من لندن، ثم درَّس في جامعة طهران وترجم إلى الفارسية عددًا من الكتب في الفلسفة السياسية، كما ألف عددًا من الكتب حول العلوم السياسية بالفارسية والإنجليزية. بعد إغلاق الجامعات في إيران عام 1980م انتقل إلى لندن وتوفي فيها بعد عامين. </w:t>
      </w:r>
      <w:r w:rsidRPr="006E28E9">
        <w:rPr>
          <w:rFonts w:hint="cs"/>
          <w:rtl/>
          <w:lang w:bidi="ar-SY"/>
        </w:rPr>
        <w:t>(المُتَرْجِمُ)</w:t>
      </w:r>
    </w:p>
  </w:footnote>
  <w:footnote w:id="42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6E28E9">
        <w:rPr>
          <w:rFonts w:hint="cs"/>
          <w:rtl/>
        </w:rPr>
        <w:t xml:space="preserve">حميد عنايت، </w:t>
      </w:r>
      <w:r w:rsidRPr="008C7124">
        <w:rPr>
          <w:rStyle w:val="Char9"/>
          <w:rFonts w:hint="cs"/>
          <w:sz w:val="20"/>
          <w:szCs w:val="20"/>
          <w:rtl/>
        </w:rPr>
        <w:t>اند</w:t>
      </w:r>
      <w:r>
        <w:rPr>
          <w:rStyle w:val="Char9"/>
          <w:rFonts w:hint="cs"/>
          <w:sz w:val="20"/>
          <w:szCs w:val="20"/>
          <w:rtl/>
        </w:rPr>
        <w:t>ی</w:t>
      </w:r>
      <w:r w:rsidRPr="008C7124">
        <w:rPr>
          <w:rStyle w:val="Char9"/>
          <w:rFonts w:hint="cs"/>
          <w:sz w:val="20"/>
          <w:szCs w:val="20"/>
          <w:rtl/>
        </w:rPr>
        <w:t>شه س</w:t>
      </w:r>
      <w:r>
        <w:rPr>
          <w:rStyle w:val="Char9"/>
          <w:rFonts w:hint="cs"/>
          <w:sz w:val="20"/>
          <w:szCs w:val="20"/>
          <w:rtl/>
        </w:rPr>
        <w:t>ی</w:t>
      </w:r>
      <w:r w:rsidRPr="008C7124">
        <w:rPr>
          <w:rStyle w:val="Char9"/>
          <w:rFonts w:hint="cs"/>
          <w:sz w:val="20"/>
          <w:szCs w:val="20"/>
          <w:rtl/>
        </w:rPr>
        <w:t>اس</w:t>
      </w:r>
      <w:r>
        <w:rPr>
          <w:rStyle w:val="Char9"/>
          <w:rFonts w:hint="cs"/>
          <w:sz w:val="20"/>
          <w:szCs w:val="20"/>
          <w:rtl/>
        </w:rPr>
        <w:t>ی</w:t>
      </w:r>
      <w:r w:rsidRPr="008C7124">
        <w:rPr>
          <w:rStyle w:val="Char9"/>
          <w:rFonts w:hint="cs"/>
          <w:sz w:val="20"/>
          <w:szCs w:val="20"/>
          <w:rtl/>
        </w:rPr>
        <w:t xml:space="preserve"> در إسلام معاصر</w:t>
      </w:r>
      <w:r w:rsidRPr="006E28E9">
        <w:rPr>
          <w:rStyle w:val="FootnoteReference"/>
          <w:rFonts w:hint="cs"/>
          <w:vertAlign w:val="baseline"/>
          <w:rtl/>
        </w:rPr>
        <w:t xml:space="preserve"> [الفكر السياسي في الإسلام المعاصر]، ص 334-335.</w:t>
      </w:r>
      <w:r w:rsidRPr="006E28E9">
        <w:rPr>
          <w:rStyle w:val="FootnoteReference"/>
          <w:vertAlign w:val="baseline"/>
          <w:rtl/>
        </w:rPr>
        <w:t xml:space="preserve"> </w:t>
      </w:r>
    </w:p>
  </w:footnote>
  <w:footnote w:id="42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على سبيل المثال انظروا: </w:t>
      </w:r>
      <w:r w:rsidRPr="008C7124">
        <w:rPr>
          <w:rStyle w:val="Char9"/>
          <w:rFonts w:hint="cs"/>
          <w:sz w:val="20"/>
          <w:szCs w:val="20"/>
          <w:rtl/>
        </w:rPr>
        <w:t>امام خم</w:t>
      </w:r>
      <w:r>
        <w:rPr>
          <w:rStyle w:val="Char9"/>
          <w:rFonts w:hint="cs"/>
          <w:sz w:val="20"/>
          <w:szCs w:val="20"/>
          <w:rtl/>
        </w:rPr>
        <w:t>ی</w:t>
      </w:r>
      <w:r w:rsidRPr="008C7124">
        <w:rPr>
          <w:rStyle w:val="Char9"/>
          <w:rFonts w:hint="cs"/>
          <w:sz w:val="20"/>
          <w:szCs w:val="20"/>
          <w:rtl/>
        </w:rPr>
        <w:t>ن</w:t>
      </w:r>
      <w:r>
        <w:rPr>
          <w:rStyle w:val="Char9"/>
          <w:rFonts w:hint="cs"/>
          <w:sz w:val="20"/>
          <w:szCs w:val="20"/>
          <w:rtl/>
        </w:rPr>
        <w:t>ی</w:t>
      </w:r>
      <w:r w:rsidRPr="008C7124">
        <w:rPr>
          <w:rStyle w:val="Char9"/>
          <w:rFonts w:hint="cs"/>
          <w:sz w:val="20"/>
          <w:szCs w:val="20"/>
          <w:rtl/>
        </w:rPr>
        <w:t xml:space="preserve"> در آ</w:t>
      </w:r>
      <w:r>
        <w:rPr>
          <w:rStyle w:val="Char9"/>
          <w:rFonts w:hint="cs"/>
          <w:sz w:val="20"/>
          <w:szCs w:val="20"/>
          <w:rtl/>
        </w:rPr>
        <w:t>ی</w:t>
      </w:r>
      <w:r w:rsidRPr="008C7124">
        <w:rPr>
          <w:rStyle w:val="Char9"/>
          <w:rFonts w:hint="cs"/>
          <w:sz w:val="20"/>
          <w:szCs w:val="20"/>
          <w:rtl/>
        </w:rPr>
        <w:t>نه اسناد</w:t>
      </w:r>
      <w:r w:rsidRPr="006E28E9">
        <w:rPr>
          <w:rStyle w:val="FootnoteReference"/>
          <w:rFonts w:hint="cs"/>
          <w:vertAlign w:val="baseline"/>
          <w:rtl/>
        </w:rPr>
        <w:t xml:space="preserve"> [الإمام الخميني في مرآة الوثائق]، ج 17، ص 239.</w:t>
      </w:r>
      <w:r w:rsidRPr="006E28E9">
        <w:rPr>
          <w:rStyle w:val="FootnoteReference"/>
          <w:vertAlign w:val="baseline"/>
          <w:rtl/>
        </w:rPr>
        <w:t xml:space="preserve"> </w:t>
      </w:r>
    </w:p>
  </w:footnote>
  <w:footnote w:id="425">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بن بست</w:t>
      </w:r>
      <w:r w:rsidRPr="006E28E9">
        <w:rPr>
          <w:rStyle w:val="FootnoteReference"/>
          <w:rFonts w:hint="cs"/>
          <w:vertAlign w:val="baseline"/>
          <w:rtl/>
        </w:rPr>
        <w:t xml:space="preserve"> [الطريق المسدود]، ص 23.</w:t>
      </w:r>
      <w:r w:rsidRPr="006E28E9">
        <w:rPr>
          <w:rStyle w:val="FootnoteReference"/>
          <w:vertAlign w:val="baseline"/>
          <w:rtl/>
        </w:rPr>
        <w:t xml:space="preserve"> </w:t>
      </w:r>
    </w:p>
  </w:footnote>
  <w:footnote w:id="426">
    <w:p w:rsidR="008C7124" w:rsidRPr="006E28E9" w:rsidRDefault="008C7124" w:rsidP="0092648A">
      <w:pPr>
        <w:pStyle w:val="FootnoteText"/>
        <w:rPr>
          <w:rStyle w:val="FootnoteReference"/>
          <w:vertAlign w:val="baseline"/>
          <w:rtl/>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خاطرات رجبعل</w:t>
      </w:r>
      <w:r>
        <w:rPr>
          <w:rStyle w:val="Char9"/>
          <w:rFonts w:hint="cs"/>
          <w:sz w:val="20"/>
          <w:szCs w:val="20"/>
          <w:rtl/>
        </w:rPr>
        <w:t>ی</w:t>
      </w:r>
      <w:r w:rsidRPr="008C7124">
        <w:rPr>
          <w:rStyle w:val="Char9"/>
          <w:rFonts w:hint="cs"/>
          <w:sz w:val="20"/>
          <w:szCs w:val="20"/>
          <w:rtl/>
        </w:rPr>
        <w:t xml:space="preserve"> طاهر</w:t>
      </w:r>
      <w:r>
        <w:rPr>
          <w:rStyle w:val="Char9"/>
          <w:rFonts w:hint="cs"/>
          <w:sz w:val="20"/>
          <w:szCs w:val="20"/>
          <w:rtl/>
        </w:rPr>
        <w:t>ی</w:t>
      </w:r>
      <w:r w:rsidRPr="006E28E9">
        <w:rPr>
          <w:rFonts w:hint="cs"/>
          <w:rtl/>
        </w:rPr>
        <w:t xml:space="preserve"> [ مذكّرات رجب علي طاهري]، ص 104.</w:t>
      </w:r>
    </w:p>
  </w:footnote>
  <w:footnote w:id="427">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كان السيد مهدي هاشمي نجاد، وأخوه السيد هادي، من طلاب العلوم الدينية الذين كانوا من الناشطين السياسيين الذين دخلوا سجون الشاه</w:t>
      </w:r>
      <w:r w:rsidRPr="006E28E9">
        <w:rPr>
          <w:rFonts w:hint="cs"/>
          <w:rtl/>
        </w:rPr>
        <w:t xml:space="preserve"> </w:t>
      </w:r>
      <w:r w:rsidRPr="006E28E9">
        <w:rPr>
          <w:rStyle w:val="FootnoteReference"/>
          <w:rFonts w:hint="cs"/>
          <w:vertAlign w:val="baseline"/>
          <w:rtl/>
        </w:rPr>
        <w:t>قبل الثورة. كان هادي صهر الشيخ المنتظري، وقد سجن مدّةً قبل الثورة، ثم عمل بعد الثورة في مكتب آية الله المنتظري</w:t>
      </w:r>
      <w:r w:rsidRPr="006E28E9">
        <w:rPr>
          <w:rFonts w:hint="cs"/>
          <w:rtl/>
        </w:rPr>
        <w:t>.</w:t>
      </w:r>
      <w:r w:rsidRPr="006E28E9">
        <w:rPr>
          <w:rStyle w:val="FootnoteReference"/>
          <w:rFonts w:hint="cs"/>
          <w:vertAlign w:val="baseline"/>
          <w:rtl/>
        </w:rPr>
        <w:t xml:space="preserve"> وأشار الشهيد حقاني في استجواباته في حوالي السنة 1354هـ.ش [1975م] إلى نشاطاته ونشاطات ر</w:t>
      </w:r>
      <w:r w:rsidRPr="006E28E9">
        <w:rPr>
          <w:rFonts w:hint="cs"/>
          <w:rtl/>
        </w:rPr>
        <w:t>فاقه وبطانته</w:t>
      </w:r>
      <w:r w:rsidRPr="006E28E9">
        <w:rPr>
          <w:rStyle w:val="FootnoteReference"/>
          <w:rFonts w:hint="cs"/>
          <w:vertAlign w:val="baseline"/>
          <w:rtl/>
        </w:rPr>
        <w:t xml:space="preserve"> لأجل التعريف با</w:t>
      </w:r>
      <w:r w:rsidRPr="006E28E9">
        <w:rPr>
          <w:rFonts w:hint="cs"/>
          <w:rtl/>
        </w:rPr>
        <w:t>لشيخ</w:t>
      </w:r>
      <w:r w:rsidRPr="006E28E9">
        <w:rPr>
          <w:rStyle w:val="FootnoteReference"/>
          <w:rFonts w:hint="cs"/>
          <w:vertAlign w:val="baseline"/>
          <w:rtl/>
        </w:rPr>
        <w:t xml:space="preserve"> المنتظري </w:t>
      </w:r>
      <w:r w:rsidRPr="006E28E9">
        <w:rPr>
          <w:rFonts w:hint="cs"/>
          <w:rtl/>
        </w:rPr>
        <w:t xml:space="preserve">والدعاية له. </w:t>
      </w:r>
      <w:r w:rsidRPr="006E28E9">
        <w:rPr>
          <w:rStyle w:val="FootnoteReference"/>
          <w:rFonts w:hint="cs"/>
          <w:vertAlign w:val="baseline"/>
          <w:rtl/>
        </w:rPr>
        <w:t>(</w:t>
      </w:r>
      <w:r w:rsidRPr="008C7124">
        <w:rPr>
          <w:rStyle w:val="Char9"/>
          <w:rFonts w:hint="cs"/>
          <w:sz w:val="20"/>
          <w:szCs w:val="20"/>
          <w:rtl/>
        </w:rPr>
        <w:t>شه</w:t>
      </w:r>
      <w:r>
        <w:rPr>
          <w:rStyle w:val="Char9"/>
          <w:rFonts w:hint="cs"/>
          <w:sz w:val="20"/>
          <w:szCs w:val="20"/>
          <w:rtl/>
        </w:rPr>
        <w:t>ی</w:t>
      </w:r>
      <w:r w:rsidRPr="008C7124">
        <w:rPr>
          <w:rStyle w:val="Char9"/>
          <w:rFonts w:hint="cs"/>
          <w:sz w:val="20"/>
          <w:szCs w:val="20"/>
          <w:rtl/>
        </w:rPr>
        <w:t>د حجت الإسلام حقان</w:t>
      </w:r>
      <w:r>
        <w:rPr>
          <w:rStyle w:val="Char9"/>
          <w:rFonts w:hint="cs"/>
          <w:sz w:val="20"/>
          <w:szCs w:val="20"/>
          <w:rtl/>
        </w:rPr>
        <w:t>ی</w:t>
      </w:r>
      <w:r w:rsidRPr="008C7124">
        <w:rPr>
          <w:rStyle w:val="Char9"/>
          <w:rFonts w:hint="cs"/>
          <w:sz w:val="20"/>
          <w:szCs w:val="20"/>
          <w:rtl/>
        </w:rPr>
        <w:t xml:space="preserve"> در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8C7124">
        <w:rPr>
          <w:rStyle w:val="Char9"/>
          <w:rFonts w:hint="cs"/>
          <w:sz w:val="20"/>
          <w:szCs w:val="20"/>
          <w:rtl/>
        </w:rPr>
        <w:t xml:space="preserve"> </w:t>
      </w:r>
      <w:r w:rsidRPr="006E28E9">
        <w:rPr>
          <w:rStyle w:val="FootnoteReference"/>
          <w:rFonts w:hint="cs"/>
          <w:vertAlign w:val="baseline"/>
          <w:rtl/>
        </w:rPr>
        <w:t>[الشهيد حجة الإسلام حقاني في رواية وثائق الساواك]، ص 271).</w:t>
      </w:r>
      <w:r w:rsidRPr="006E28E9">
        <w:rPr>
          <w:rStyle w:val="FootnoteReference"/>
          <w:vertAlign w:val="baseline"/>
          <w:rtl/>
        </w:rPr>
        <w:t xml:space="preserve"> </w:t>
      </w:r>
    </w:p>
  </w:footnote>
  <w:footnote w:id="428">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لقد طرح هذه المسائل في استجواباته</w:t>
      </w:r>
      <w:r w:rsidRPr="006E28E9">
        <w:rPr>
          <w:rFonts w:hint="cs"/>
          <w:rtl/>
        </w:rPr>
        <w:t>.</w:t>
      </w:r>
      <w:r w:rsidRPr="006E28E9">
        <w:rPr>
          <w:rStyle w:val="FootnoteReference"/>
          <w:rFonts w:hint="cs"/>
          <w:vertAlign w:val="baseline"/>
          <w:rtl/>
        </w:rPr>
        <w:t xml:space="preserve"> انظرو</w:t>
      </w:r>
      <w:r w:rsidRPr="006E28E9">
        <w:rPr>
          <w:rFonts w:hint="cs"/>
          <w:rtl/>
        </w:rPr>
        <w:t>ا</w:t>
      </w:r>
      <w:r w:rsidRPr="006E28E9">
        <w:rPr>
          <w:rStyle w:val="FootnoteReference"/>
          <w:rFonts w:hint="cs"/>
          <w:vertAlign w:val="baseline"/>
          <w:rtl/>
        </w:rPr>
        <w:t xml:space="preserve">: </w:t>
      </w:r>
      <w:r w:rsidRPr="008C7124">
        <w:rPr>
          <w:rStyle w:val="Char9"/>
          <w:rFonts w:hint="cs"/>
          <w:sz w:val="20"/>
          <w:szCs w:val="20"/>
          <w:rtl/>
        </w:rPr>
        <w:t>بن بست</w:t>
      </w:r>
      <w:r w:rsidRPr="006E28E9">
        <w:rPr>
          <w:rStyle w:val="FootnoteReference"/>
          <w:rFonts w:hint="cs"/>
          <w:vertAlign w:val="baseline"/>
          <w:rtl/>
        </w:rPr>
        <w:t xml:space="preserve"> [الطريق المسدود]، ج1، ص 42-44. وفي الصفحات 40-41 من الكتاب ذاته، تمت الإشارة إلى بعض آراء غروي الأصفهاني وعقائد</w:t>
      </w:r>
      <w:r w:rsidRPr="006E28E9">
        <w:rPr>
          <w:rFonts w:hint="cs"/>
          <w:rtl/>
        </w:rPr>
        <w:t>ه</w:t>
      </w:r>
      <w:r w:rsidRPr="006E28E9">
        <w:rPr>
          <w:rStyle w:val="FootnoteReference"/>
          <w:rFonts w:hint="cs"/>
          <w:vertAlign w:val="baseline"/>
          <w:rtl/>
        </w:rPr>
        <w:t xml:space="preserve"> التي كان </w:t>
      </w:r>
      <w:r w:rsidRPr="006E28E9">
        <w:rPr>
          <w:rFonts w:hint="cs"/>
          <w:rtl/>
        </w:rPr>
        <w:t xml:space="preserve">مهدي هاشمي </w:t>
      </w:r>
      <w:r w:rsidRPr="006E28E9">
        <w:rPr>
          <w:rStyle w:val="FootnoteReference"/>
          <w:rFonts w:hint="cs"/>
          <w:vertAlign w:val="baseline"/>
          <w:rtl/>
        </w:rPr>
        <w:t>يسمعها من لسان تلاميذه، رغم أنهم لم يكونوا يصرحون بمصدر تلك المعتقدات.</w:t>
      </w:r>
      <w:r w:rsidRPr="006E28E9">
        <w:rPr>
          <w:rFonts w:hint="cs"/>
          <w:rtl/>
        </w:rPr>
        <w:t xml:space="preserve"> </w:t>
      </w:r>
      <w:r w:rsidRPr="006E28E9">
        <w:rPr>
          <w:rStyle w:val="FootnoteReference"/>
          <w:rFonts w:hint="cs"/>
          <w:vertAlign w:val="baseline"/>
          <w:rtl/>
        </w:rPr>
        <w:t>و</w:t>
      </w:r>
      <w:r w:rsidRPr="006E28E9">
        <w:rPr>
          <w:rFonts w:hint="cs"/>
          <w:rtl/>
        </w:rPr>
        <w:t>نضيف</w:t>
      </w:r>
      <w:r w:rsidRPr="006E28E9">
        <w:rPr>
          <w:rStyle w:val="FootnoteReference"/>
          <w:rFonts w:hint="cs"/>
          <w:vertAlign w:val="baseline"/>
          <w:rtl/>
        </w:rPr>
        <w:t xml:space="preserve"> إلى ذلك، أ</w:t>
      </w:r>
      <w:r w:rsidRPr="006E28E9">
        <w:rPr>
          <w:rFonts w:hint="cs"/>
          <w:rtl/>
        </w:rPr>
        <w:t>نه قد</w:t>
      </w:r>
      <w:r w:rsidRPr="006E28E9">
        <w:rPr>
          <w:rStyle w:val="FootnoteReference"/>
          <w:rFonts w:hint="cs"/>
          <w:vertAlign w:val="baseline"/>
          <w:rtl/>
        </w:rPr>
        <w:t xml:space="preserve"> وُجِّهَ إلى الإمام الخميني وإلى السيد آية الله الخوئي</w:t>
      </w:r>
      <w:r w:rsidRPr="006E28E9">
        <w:rPr>
          <w:rFonts w:hint="cs"/>
          <w:rtl/>
        </w:rPr>
        <w:t>،</w:t>
      </w:r>
      <w:r w:rsidRPr="006E28E9">
        <w:rPr>
          <w:rStyle w:val="FootnoteReference"/>
          <w:rFonts w:hint="cs"/>
          <w:vertAlign w:val="baseline"/>
          <w:rtl/>
        </w:rPr>
        <w:t xml:space="preserve"> قبل الثورة، </w:t>
      </w:r>
      <w:r w:rsidRPr="006E28E9">
        <w:rPr>
          <w:rFonts w:hint="cs"/>
          <w:rtl/>
        </w:rPr>
        <w:t xml:space="preserve">سؤالٌ </w:t>
      </w:r>
      <w:r w:rsidRPr="006E28E9">
        <w:rPr>
          <w:rStyle w:val="FootnoteReference"/>
          <w:rFonts w:hint="cs"/>
          <w:vertAlign w:val="baseline"/>
          <w:rtl/>
        </w:rPr>
        <w:t>حول تيار الميل نحو التسنن في أصفهان ونشاطات أصحاب هذا التيار في مدينة نائين، وتضم</w:t>
      </w:r>
      <w:r w:rsidRPr="006E28E9">
        <w:rPr>
          <w:rFonts w:hint="cs"/>
          <w:rtl/>
        </w:rPr>
        <w:t>َّ</w:t>
      </w:r>
      <w:r w:rsidRPr="006E28E9">
        <w:rPr>
          <w:rStyle w:val="FootnoteReference"/>
          <w:rFonts w:hint="cs"/>
          <w:vertAlign w:val="baseline"/>
          <w:rtl/>
        </w:rPr>
        <w:t>ن نص</w:t>
      </w:r>
      <w:r w:rsidRPr="006E28E9">
        <w:rPr>
          <w:rFonts w:hint="cs"/>
          <w:rtl/>
        </w:rPr>
        <w:t>ُّ</w:t>
      </w:r>
      <w:r w:rsidRPr="006E28E9">
        <w:rPr>
          <w:rStyle w:val="FootnoteReference"/>
          <w:rFonts w:hint="cs"/>
          <w:vertAlign w:val="baseline"/>
          <w:rtl/>
        </w:rPr>
        <w:t xml:space="preserve"> الاستفتاء نماذج لمثل تلك المعتقدات [القريبة من أفكار أهل السنة]، وقد ذكر الإمام في إجابته ضرورة اجتناب أمثال ه</w:t>
      </w:r>
      <w:r w:rsidRPr="006E28E9">
        <w:rPr>
          <w:rFonts w:hint="cs"/>
          <w:rtl/>
        </w:rPr>
        <w:t>ؤلاء</w:t>
      </w:r>
      <w:r w:rsidRPr="006E28E9">
        <w:rPr>
          <w:rStyle w:val="FootnoteReference"/>
          <w:rFonts w:hint="cs"/>
          <w:vertAlign w:val="baseline"/>
          <w:rtl/>
        </w:rPr>
        <w:t xml:space="preserve"> الأفراد </w:t>
      </w:r>
      <w:r w:rsidRPr="006E28E9">
        <w:rPr>
          <w:rFonts w:hint="cs"/>
          <w:rtl/>
        </w:rPr>
        <w:t xml:space="preserve">[المائلين لأهل السنة] </w:t>
      </w:r>
      <w:r w:rsidRPr="006E28E9">
        <w:rPr>
          <w:rStyle w:val="FootnoteReference"/>
          <w:rFonts w:hint="cs"/>
          <w:vertAlign w:val="baseline"/>
          <w:rtl/>
        </w:rPr>
        <w:t>والاحتراز منهم.</w:t>
      </w:r>
      <w:r w:rsidRPr="006E28E9">
        <w:rPr>
          <w:rStyle w:val="FootnoteReference"/>
          <w:vertAlign w:val="baseline"/>
          <w:rtl/>
        </w:rPr>
        <w:t xml:space="preserve"> </w:t>
      </w:r>
    </w:p>
  </w:footnote>
  <w:footnote w:id="429">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w:t>
      </w:r>
      <w:r w:rsidRPr="008C7124">
        <w:rPr>
          <w:rStyle w:val="Char9"/>
          <w:rFonts w:hint="cs"/>
          <w:sz w:val="20"/>
          <w:szCs w:val="20"/>
          <w:rtl/>
        </w:rPr>
        <w:t>المصدر نفسه</w:t>
      </w:r>
      <w:r w:rsidRPr="006E28E9">
        <w:rPr>
          <w:rStyle w:val="FootnoteReference"/>
          <w:rFonts w:hint="cs"/>
          <w:vertAlign w:val="baseline"/>
          <w:rtl/>
        </w:rPr>
        <w:t>، ص 46-47، في ذلك ا</w:t>
      </w:r>
      <w:r w:rsidRPr="006E28E9">
        <w:rPr>
          <w:rFonts w:hint="cs"/>
          <w:rtl/>
        </w:rPr>
        <w:t>لزمن</w:t>
      </w:r>
      <w:r w:rsidRPr="006E28E9">
        <w:rPr>
          <w:rStyle w:val="FootnoteReference"/>
          <w:rFonts w:hint="cs"/>
          <w:vertAlign w:val="baseline"/>
          <w:rtl/>
        </w:rPr>
        <w:t xml:space="preserve"> كان شمس آبادي من</w:t>
      </w:r>
      <w:r w:rsidRPr="006E28E9">
        <w:rPr>
          <w:rFonts w:hint="cs"/>
          <w:rtl/>
        </w:rPr>
        <w:t xml:space="preserve"> أشدّ</w:t>
      </w:r>
      <w:r w:rsidRPr="006E28E9">
        <w:rPr>
          <w:rStyle w:val="FootnoteReference"/>
          <w:rFonts w:hint="cs"/>
          <w:vertAlign w:val="baseline"/>
          <w:rtl/>
        </w:rPr>
        <w:t xml:space="preserve"> </w:t>
      </w:r>
      <w:r w:rsidRPr="006E28E9">
        <w:rPr>
          <w:rFonts w:hint="cs"/>
          <w:rtl/>
        </w:rPr>
        <w:t>ال</w:t>
      </w:r>
      <w:r w:rsidRPr="006E28E9">
        <w:rPr>
          <w:rStyle w:val="FootnoteReference"/>
          <w:rFonts w:hint="cs"/>
          <w:vertAlign w:val="baseline"/>
          <w:rtl/>
        </w:rPr>
        <w:t>معارضي</w:t>
      </w:r>
      <w:r w:rsidRPr="006E28E9">
        <w:rPr>
          <w:rFonts w:hint="cs"/>
          <w:rtl/>
        </w:rPr>
        <w:t>ن الألِدَّاء</w:t>
      </w:r>
      <w:r w:rsidRPr="006E28E9">
        <w:rPr>
          <w:rStyle w:val="FootnoteReference"/>
          <w:rFonts w:hint="cs"/>
          <w:vertAlign w:val="baseline"/>
          <w:rtl/>
        </w:rPr>
        <w:t xml:space="preserve"> </w:t>
      </w:r>
      <w:r w:rsidRPr="006E28E9">
        <w:rPr>
          <w:rFonts w:hint="cs"/>
          <w:rtl/>
        </w:rPr>
        <w:t xml:space="preserve">للشيخ </w:t>
      </w:r>
      <w:r w:rsidRPr="006E28E9">
        <w:rPr>
          <w:rStyle w:val="FootnoteReference"/>
          <w:rFonts w:hint="cs"/>
          <w:vertAlign w:val="baseline"/>
          <w:rtl/>
        </w:rPr>
        <w:t>غروي الأصفهاني وقد تحولت هذه القضية إلى معضلة عويصة غير قابلة للحل في أصفهان، وبالطبع كان تيار مؤيدي كتاب شهيد جاويد داخلين بنحوٍ من الأنحاء في دائرة هذا النزاع، و</w:t>
      </w:r>
      <w:r w:rsidRPr="006E28E9">
        <w:rPr>
          <w:rFonts w:hint="cs"/>
          <w:rtl/>
        </w:rPr>
        <w:t xml:space="preserve">كان </w:t>
      </w:r>
      <w:r w:rsidRPr="006E28E9">
        <w:rPr>
          <w:rStyle w:val="FootnoteReference"/>
          <w:rFonts w:hint="cs"/>
          <w:vertAlign w:val="baseline"/>
          <w:rtl/>
        </w:rPr>
        <w:t xml:space="preserve">الميل إلى العنف والاغتيال بوصفهما فرعين متفرعين </w:t>
      </w:r>
      <w:r w:rsidRPr="006E28E9">
        <w:rPr>
          <w:rFonts w:hint="cs"/>
          <w:rtl/>
        </w:rPr>
        <w:t xml:space="preserve">عن </w:t>
      </w:r>
      <w:r w:rsidRPr="006E28E9">
        <w:rPr>
          <w:rStyle w:val="FootnoteReference"/>
          <w:rFonts w:hint="cs"/>
          <w:vertAlign w:val="baseline"/>
          <w:rtl/>
        </w:rPr>
        <w:t xml:space="preserve">الاتجاه اليساري المتطرف في هذه المجموعة، يقود بشكل عام، إلى هذا النوع من الاستنباطات، التي نشاهد نماذج لها أيضًا لدى مجموعة </w:t>
      </w:r>
      <w:r w:rsidRPr="006E28E9">
        <w:rPr>
          <w:rStyle w:val="FootnoteReference"/>
          <w:rFonts w:hint="eastAsia"/>
          <w:vertAlign w:val="baseline"/>
          <w:rtl/>
        </w:rPr>
        <w:t>«ا</w:t>
      </w:r>
      <w:r w:rsidRPr="006E28E9">
        <w:rPr>
          <w:rStyle w:val="FootnoteReference"/>
          <w:rFonts w:hint="cs"/>
          <w:vertAlign w:val="baseline"/>
          <w:rtl/>
        </w:rPr>
        <w:t>لفرقانيين</w:t>
      </w:r>
      <w:r w:rsidRPr="006E28E9">
        <w:rPr>
          <w:rStyle w:val="FootnoteReference"/>
          <w:rFonts w:hint="eastAsia"/>
          <w:vertAlign w:val="baseline"/>
          <w:rtl/>
        </w:rPr>
        <w:t>»</w:t>
      </w:r>
      <w:r w:rsidRPr="006E28E9">
        <w:rPr>
          <w:rStyle w:val="FootnoteReference"/>
          <w:rFonts w:hint="cs"/>
          <w:vertAlign w:val="baseline"/>
          <w:rtl/>
        </w:rPr>
        <w:t>.</w:t>
      </w:r>
    </w:p>
  </w:footnote>
  <w:footnote w:id="430">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من الجدير بالذكر أن آية الله شمس آبادي كان من علماء الدين الذين د</w:t>
      </w:r>
      <w:r w:rsidRPr="006E28E9">
        <w:rPr>
          <w:rFonts w:hint="cs"/>
          <w:rtl/>
        </w:rPr>
        <w:t>افعوا</w:t>
      </w:r>
      <w:r w:rsidRPr="006E28E9">
        <w:rPr>
          <w:rStyle w:val="FootnoteReference"/>
          <w:rFonts w:hint="cs"/>
          <w:vertAlign w:val="baseline"/>
          <w:rtl/>
        </w:rPr>
        <w:t xml:space="preserve"> </w:t>
      </w:r>
      <w:r w:rsidRPr="006E28E9">
        <w:rPr>
          <w:rFonts w:hint="cs"/>
          <w:rtl/>
        </w:rPr>
        <w:t xml:space="preserve">بشكل نَشِط </w:t>
      </w:r>
      <w:r w:rsidRPr="006E28E9">
        <w:rPr>
          <w:rStyle w:val="FootnoteReference"/>
          <w:rFonts w:hint="cs"/>
          <w:vertAlign w:val="baseline"/>
          <w:rtl/>
        </w:rPr>
        <w:t>عن تحرك علماء الدين وثورتهم خلال حوادث ثورة شهر خرداد عام 1342 هـ.ش</w:t>
      </w:r>
      <w:r w:rsidRPr="006E28E9">
        <w:rPr>
          <w:rFonts w:hint="cs"/>
          <w:rtl/>
        </w:rPr>
        <w:t xml:space="preserve"> [يونيو/حزيران 1963م]</w:t>
      </w:r>
      <w:r w:rsidRPr="006E28E9">
        <w:rPr>
          <w:rStyle w:val="FootnoteReference"/>
          <w:rFonts w:hint="cs"/>
          <w:vertAlign w:val="baseline"/>
          <w:rtl/>
        </w:rPr>
        <w:t>. وإليكم نص أحد البيانات السياسية التي وقّع عليها في النهاية الآيات: خادمي، شمس آبادي، أحمد آبادي وأبطحي سدهي، وصدر بتاريخ 16 خرداد 1342 هـ.ش:</w:t>
      </w:r>
      <w:r w:rsidRPr="006E28E9">
        <w:rPr>
          <w:rStyle w:val="FootnoteReference"/>
          <w:rFonts w:hint="cs"/>
          <w:vertAlign w:val="baseline"/>
          <w:rtl/>
          <w:lang w:bidi="ar-SY"/>
        </w:rPr>
        <w:t xml:space="preserve"> «</w:t>
      </w:r>
      <w:r w:rsidRPr="006E28E9">
        <w:rPr>
          <w:rStyle w:val="FootnoteReference"/>
          <w:rFonts w:hint="cs"/>
          <w:vertAlign w:val="baseline"/>
          <w:rtl/>
        </w:rPr>
        <w:t>يجب على عامة المتدينين من أهالي أصفهان أن يشاركوا بكل قواهم في النهضة الدينية المقدَّسة بزعامة حضرات آيات الله العظام مراجع التقليد - أطال الله بقاءهم - بهدف الدفاع عن حريم الإسلام والمسلمين حتى نيل النتيجة القطعية المطلوبة</w:t>
      </w:r>
      <w:r w:rsidRPr="006E28E9">
        <w:rPr>
          <w:rFonts w:hint="cs"/>
          <w:rtl/>
        </w:rPr>
        <w:t>،</w:t>
      </w:r>
      <w:r w:rsidRPr="006E28E9">
        <w:rPr>
          <w:rStyle w:val="FootnoteReference"/>
          <w:rFonts w:hint="cs"/>
          <w:vertAlign w:val="baseline"/>
          <w:rtl/>
        </w:rPr>
        <w:t xml:space="preserve"> وأن لا يقصِّروا في بذل أي جهد في هذا السبيل مع الحفاظ على النظم والهدوء. </w:t>
      </w:r>
      <w:r w:rsidRPr="006E28E9">
        <w:rPr>
          <w:rFonts w:hint="cs"/>
          <w:rtl/>
        </w:rPr>
        <w:t xml:space="preserve">إن </w:t>
      </w:r>
      <w:r w:rsidRPr="006E28E9">
        <w:rPr>
          <w:rStyle w:val="FootnoteReference"/>
          <w:rFonts w:hint="cs"/>
          <w:vertAlign w:val="baseline"/>
          <w:rtl/>
        </w:rPr>
        <w:t xml:space="preserve">دين الله معرَّض للخطر اليوم مِنْ قِبَلِ أعداء الإسلام وأي تساهل في هذا الصدد سيؤدي إلى خسران الدنيا والآخرة». انظروا: </w:t>
      </w:r>
      <w:r w:rsidRPr="008C7124">
        <w:rPr>
          <w:rStyle w:val="Char9"/>
          <w:rFonts w:hint="cs"/>
          <w:sz w:val="20"/>
          <w:szCs w:val="20"/>
          <w:rtl/>
        </w:rPr>
        <w:t>خادم شر</w:t>
      </w:r>
      <w:r>
        <w:rPr>
          <w:rStyle w:val="Char9"/>
          <w:rFonts w:hint="cs"/>
          <w:sz w:val="20"/>
          <w:szCs w:val="20"/>
          <w:rtl/>
        </w:rPr>
        <w:t>ی</w:t>
      </w:r>
      <w:r w:rsidRPr="008C7124">
        <w:rPr>
          <w:rStyle w:val="Char9"/>
          <w:rFonts w:hint="cs"/>
          <w:sz w:val="20"/>
          <w:szCs w:val="20"/>
          <w:rtl/>
        </w:rPr>
        <w:t>عت</w:t>
      </w:r>
      <w:r w:rsidRPr="006E28E9">
        <w:rPr>
          <w:rStyle w:val="FootnoteReference"/>
          <w:rFonts w:hint="cs"/>
          <w:vertAlign w:val="baseline"/>
          <w:rtl/>
        </w:rPr>
        <w:t xml:space="preserve"> [خادم الشريعة]، ص 17.</w:t>
      </w:r>
    </w:p>
  </w:footnote>
  <w:footnote w:id="431">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للتعرف على أحد نماذج المواجهة الحادة والشديدة التي كان يقوم بها المرحوم شمس آبادي ضد كتاب الشهيد الخالد، انظروا إلى: </w:t>
      </w:r>
      <w:r w:rsidRPr="008C7124">
        <w:rPr>
          <w:rStyle w:val="Char9"/>
          <w:rFonts w:hint="cs"/>
          <w:sz w:val="20"/>
          <w:szCs w:val="20"/>
          <w:rtl/>
        </w:rPr>
        <w:t>خادم شر</w:t>
      </w:r>
      <w:r>
        <w:rPr>
          <w:rStyle w:val="Char9"/>
          <w:rFonts w:hint="cs"/>
          <w:sz w:val="20"/>
          <w:szCs w:val="20"/>
          <w:rtl/>
        </w:rPr>
        <w:t>ی</w:t>
      </w:r>
      <w:r w:rsidRPr="008C7124">
        <w:rPr>
          <w:rStyle w:val="Char9"/>
          <w:rFonts w:hint="cs"/>
          <w:sz w:val="20"/>
          <w:szCs w:val="20"/>
          <w:rtl/>
        </w:rPr>
        <w:t>عت</w:t>
      </w:r>
      <w:r w:rsidRPr="006E28E9">
        <w:rPr>
          <w:rStyle w:val="FootnoteReference"/>
          <w:rFonts w:hint="cs"/>
          <w:vertAlign w:val="baseline"/>
          <w:rtl/>
        </w:rPr>
        <w:t xml:space="preserve"> [خادم الشريعة]، ص 209. في ذلك المجلس الذي كان يحضره عدد من العلماء شنَّ شمس آبادي هجوم</w:t>
      </w:r>
      <w:r w:rsidRPr="006E28E9">
        <w:rPr>
          <w:rFonts w:hint="cs"/>
          <w:rtl/>
        </w:rPr>
        <w:t>ً</w:t>
      </w:r>
      <w:r w:rsidRPr="006E28E9">
        <w:rPr>
          <w:rStyle w:val="FootnoteReference"/>
          <w:rFonts w:hint="cs"/>
          <w:vertAlign w:val="baseline"/>
          <w:rtl/>
        </w:rPr>
        <w:t>ا حاد</w:t>
      </w:r>
      <w:r w:rsidRPr="006E28E9">
        <w:rPr>
          <w:rFonts w:hint="cs"/>
          <w:rtl/>
          <w:lang w:bidi="ar-SY"/>
        </w:rPr>
        <w:t>ًّ</w:t>
      </w:r>
      <w:r w:rsidRPr="006E28E9">
        <w:rPr>
          <w:rStyle w:val="FootnoteReference"/>
          <w:rFonts w:hint="cs"/>
          <w:vertAlign w:val="baseline"/>
          <w:rtl/>
        </w:rPr>
        <w:t>ا على الشيخ المنتظري أيض</w:t>
      </w:r>
      <w:r w:rsidRPr="006E28E9">
        <w:rPr>
          <w:rFonts w:hint="cs"/>
          <w:rtl/>
        </w:rPr>
        <w:t>ً</w:t>
      </w:r>
      <w:r w:rsidRPr="006E28E9">
        <w:rPr>
          <w:rStyle w:val="FootnoteReference"/>
          <w:rFonts w:hint="cs"/>
          <w:vertAlign w:val="baseline"/>
          <w:rtl/>
        </w:rPr>
        <w:t>ا الذي كتب تقريظ</w:t>
      </w:r>
      <w:r w:rsidRPr="006E28E9">
        <w:rPr>
          <w:rFonts w:hint="cs"/>
          <w:rtl/>
        </w:rPr>
        <w:t>ً</w:t>
      </w:r>
      <w:r w:rsidRPr="006E28E9">
        <w:rPr>
          <w:rStyle w:val="FootnoteReference"/>
          <w:rFonts w:hint="cs"/>
          <w:vertAlign w:val="baseline"/>
          <w:rtl/>
        </w:rPr>
        <w:t>ا على ذلك الكتاب. في معرض ثناء الشيخ المنتظري على السيد مهدي هاشمي وبيانه لسوابقه الثورية، عندما وصل الأمر إلى قتل شمس آبادي كتب المنتظري قائلاً: «حقيقة قصة كتاب الشهيد الخالد هي أن المرحوم شمس آبادي ت</w:t>
      </w:r>
      <w:r w:rsidRPr="006E28E9">
        <w:rPr>
          <w:rFonts w:hint="cs"/>
          <w:rtl/>
        </w:rPr>
        <w:t>ولَّى كِبْرَ</w:t>
      </w:r>
      <w:r w:rsidRPr="006E28E9">
        <w:rPr>
          <w:rStyle w:val="FootnoteReference"/>
          <w:rFonts w:hint="cs"/>
          <w:vertAlign w:val="baseline"/>
          <w:rtl/>
        </w:rPr>
        <w:t xml:space="preserve"> المهاجمين لذلك الكتاب في تلك القصة</w:t>
      </w:r>
      <w:r w:rsidRPr="006E28E9">
        <w:rPr>
          <w:rFonts w:hint="cs"/>
          <w:rtl/>
        </w:rPr>
        <w:t>، وكان رأس حربتهم</w:t>
      </w:r>
      <w:r w:rsidRPr="006E28E9">
        <w:rPr>
          <w:rStyle w:val="FootnoteReference"/>
          <w:rFonts w:hint="cs"/>
          <w:vertAlign w:val="baseline"/>
          <w:rtl/>
        </w:rPr>
        <w:t>». ثم بعد ذلك وبعد ذكره لقضية صغرى وقضية كبرى استنتج المنتظري نتيجة تنسب بنحو من الأنحاء مقتل شمس آبادي على أيدي القوى الثورية المتطرفة إلى بيانات الإمام الخميني العامة. تلك الصغرى والكبرى كانتا على النحو ا</w:t>
      </w:r>
      <w:r w:rsidRPr="006E28E9">
        <w:rPr>
          <w:rFonts w:hint="cs"/>
          <w:rtl/>
        </w:rPr>
        <w:t>لآتي</w:t>
      </w:r>
      <w:r w:rsidRPr="006E28E9">
        <w:rPr>
          <w:rStyle w:val="FootnoteReference"/>
          <w:rFonts w:hint="cs"/>
          <w:vertAlign w:val="baseline"/>
          <w:rtl/>
        </w:rPr>
        <w:t xml:space="preserve">: كان جهاز السافاك يحاول القضاء على المنتظري ورباني والمشكيني بحجة الدفاع عن معارضي كتاب الشهيد الخالد. وفي تلك الأثناء، قال الإمام الخميني في النجف: انزعوا عمائم وعّاظ السلاطين وافضحوهم بين الناس. ويضيف المنتظري بعد ذلك قائلاً: </w:t>
      </w:r>
      <w:r w:rsidRPr="006E28E9">
        <w:rPr>
          <w:rFonts w:hint="cs"/>
          <w:rtl/>
          <w:lang w:bidi="ar-SY"/>
        </w:rPr>
        <w:t>«</w:t>
      </w:r>
      <w:r w:rsidRPr="006E28E9">
        <w:rPr>
          <w:rStyle w:val="FootnoteReference"/>
          <w:rFonts w:hint="cs"/>
          <w:vertAlign w:val="baseline"/>
          <w:rtl/>
        </w:rPr>
        <w:t>لقد أدّت مثل هذه العبارات التي قالها المرحوم الإمام إلى أن يقوم بعض الأفراد المتطرفين والمتحمِّسين بشكل مفرط وكانوا يمتلكون روحية ثورية، إلى تضخيم المسائل أكثر». و</w:t>
      </w:r>
      <w:r w:rsidRPr="006E28E9">
        <w:rPr>
          <w:rFonts w:hint="cs"/>
          <w:rtl/>
        </w:rPr>
        <w:t>الأكثر عجبًا</w:t>
      </w:r>
      <w:r w:rsidRPr="006E28E9">
        <w:rPr>
          <w:rStyle w:val="FootnoteReference"/>
          <w:rFonts w:hint="cs"/>
          <w:vertAlign w:val="baseline"/>
          <w:rtl/>
        </w:rPr>
        <w:t xml:space="preserve"> أن المنتظري كتب قا</w:t>
      </w:r>
      <w:r w:rsidRPr="006E28E9">
        <w:rPr>
          <w:rFonts w:hint="cs"/>
          <w:rtl/>
        </w:rPr>
        <w:t>ل</w:t>
      </w:r>
      <w:r w:rsidRPr="006E28E9">
        <w:rPr>
          <w:rStyle w:val="FootnoteReference"/>
          <w:rFonts w:hint="cs"/>
          <w:vertAlign w:val="baseline"/>
          <w:rtl/>
        </w:rPr>
        <w:t xml:space="preserve"> عن قتلة شمس آبادي</w:t>
      </w:r>
      <w:r w:rsidRPr="006E28E9">
        <w:rPr>
          <w:rFonts w:hint="cs"/>
          <w:rtl/>
        </w:rPr>
        <w:t xml:space="preserve"> - بلهجة تتضمن نوعًا من الدفاع عنهم على نحوٍ من الأنحاء لأنهم في الواقع قتلوه دفاعًا عن المنتظري- </w:t>
      </w:r>
      <w:r w:rsidRPr="006E28E9">
        <w:rPr>
          <w:rStyle w:val="FootnoteReference"/>
          <w:rFonts w:hint="cs"/>
          <w:vertAlign w:val="baseline"/>
          <w:rtl/>
        </w:rPr>
        <w:t>: لما كان شمس آبادي في قهدريجان ينشط ضد كتاب الشهيد الخالد «وينشر دعايةً سيئةً لتشويه من كتبوا تقريظًا على ذلك الكتاب ال</w:t>
      </w:r>
      <w:r w:rsidRPr="006E28E9">
        <w:rPr>
          <w:rFonts w:hint="cs"/>
          <w:rtl/>
        </w:rPr>
        <w:t xml:space="preserve">ذين كانوا في الوقت ذاته </w:t>
      </w:r>
      <w:r w:rsidRPr="006E28E9">
        <w:rPr>
          <w:rStyle w:val="FootnoteReference"/>
          <w:rFonts w:hint="cs"/>
          <w:vertAlign w:val="baseline"/>
          <w:rtl/>
        </w:rPr>
        <w:t>من أنصار المرحوم الإمام وأصحابه - أي المنتظري نفسه - ...... ن</w:t>
      </w:r>
      <w:r w:rsidRPr="006E28E9">
        <w:rPr>
          <w:rFonts w:hint="cs"/>
          <w:rtl/>
        </w:rPr>
        <w:t>شأ</w:t>
      </w:r>
      <w:r w:rsidRPr="006E28E9">
        <w:rPr>
          <w:rStyle w:val="FootnoteReference"/>
          <w:rFonts w:hint="cs"/>
          <w:vertAlign w:val="baseline"/>
          <w:rtl/>
        </w:rPr>
        <w:t xml:space="preserve"> جَوٌّ متشنِّج</w:t>
      </w:r>
      <w:r w:rsidRPr="006E28E9">
        <w:rPr>
          <w:rFonts w:hint="cs"/>
          <w:rtl/>
        </w:rPr>
        <w:t>ٌ</w:t>
      </w:r>
      <w:r w:rsidRPr="006E28E9">
        <w:rPr>
          <w:rStyle w:val="FootnoteReference"/>
          <w:rFonts w:hint="cs"/>
          <w:vertAlign w:val="baseline"/>
          <w:rtl/>
        </w:rPr>
        <w:t xml:space="preserve"> بالطبع وأراد الشباب الثوريون المتطرفون معاقبة شمس آبادي وإخافته</w:t>
      </w:r>
      <w:r w:rsidRPr="006E28E9">
        <w:rPr>
          <w:rFonts w:hint="cs"/>
          <w:rtl/>
        </w:rPr>
        <w:t>،</w:t>
      </w:r>
      <w:r w:rsidRPr="006E28E9">
        <w:rPr>
          <w:rStyle w:val="FootnoteReference"/>
          <w:rFonts w:hint="cs"/>
          <w:vertAlign w:val="baseline"/>
          <w:rtl/>
        </w:rPr>
        <w:t xml:space="preserve"> لكن الأمر انجرّ إلى قتله دون رغبة منهم في ذلك!!». انظروا: </w:t>
      </w:r>
      <w:r w:rsidRPr="008C7124">
        <w:rPr>
          <w:rStyle w:val="Char9"/>
          <w:rFonts w:hint="cs"/>
          <w:sz w:val="20"/>
          <w:szCs w:val="20"/>
          <w:rtl/>
        </w:rPr>
        <w:t>خاطرات</w:t>
      </w:r>
      <w:r w:rsidRPr="006E28E9">
        <w:rPr>
          <w:rStyle w:val="FootnoteReference"/>
          <w:rFonts w:hint="cs"/>
          <w:vertAlign w:val="baseline"/>
          <w:rtl/>
        </w:rPr>
        <w:t xml:space="preserve"> [مذكرات]، ج 1، ص 601 - 602. وكان لآية الله كلبايكاني مواقف حادة </w:t>
      </w:r>
      <w:r w:rsidRPr="006E28E9">
        <w:rPr>
          <w:rFonts w:hint="cs"/>
          <w:rtl/>
        </w:rPr>
        <w:t xml:space="preserve">وشديدة </w:t>
      </w:r>
      <w:r w:rsidRPr="006E28E9">
        <w:rPr>
          <w:rStyle w:val="FootnoteReference"/>
          <w:rFonts w:hint="cs"/>
          <w:vertAlign w:val="baseline"/>
          <w:rtl/>
        </w:rPr>
        <w:t>أيض</w:t>
      </w:r>
      <w:r w:rsidRPr="006E28E9">
        <w:rPr>
          <w:rFonts w:hint="cs"/>
          <w:rtl/>
        </w:rPr>
        <w:t>ً</w:t>
      </w:r>
      <w:r w:rsidRPr="006E28E9">
        <w:rPr>
          <w:rStyle w:val="FootnoteReference"/>
          <w:rFonts w:hint="cs"/>
          <w:vertAlign w:val="baseline"/>
          <w:rtl/>
        </w:rPr>
        <w:t>ا ضد</w:t>
      </w:r>
      <w:r w:rsidRPr="006E28E9">
        <w:rPr>
          <w:rFonts w:hint="cs"/>
          <w:rtl/>
        </w:rPr>
        <w:t xml:space="preserve"> </w:t>
      </w:r>
      <w:r w:rsidRPr="006E28E9">
        <w:rPr>
          <w:rStyle w:val="FootnoteReference"/>
          <w:rFonts w:hint="cs"/>
          <w:vertAlign w:val="baseline"/>
          <w:rtl/>
        </w:rPr>
        <w:t>كتاب الشهيد الخالد، وبعد مقتل شمس آبادي قال ضمن رسالة وجهها إلى علماء أصفهان: ببالغ الحسرة والأسى تلقيت</w:t>
      </w:r>
      <w:r w:rsidRPr="006E28E9">
        <w:rPr>
          <w:rFonts w:hint="cs"/>
          <w:rtl/>
        </w:rPr>
        <w:t>ُ</w:t>
      </w:r>
      <w:r w:rsidRPr="006E28E9">
        <w:rPr>
          <w:rStyle w:val="FootnoteReference"/>
          <w:rFonts w:hint="cs"/>
          <w:vertAlign w:val="baseline"/>
          <w:rtl/>
        </w:rPr>
        <w:t xml:space="preserve"> خبر الفاجعة المؤلمة لاستشهاد حضرة حجة الإسلام والمسلمين سيد العلماء العالمين الحاج السيد أبو الحسن شمس آبادي - قُدِّس سره وحشره الله مع أجداده الطاهرين صلوات الله عليهم أجمعين -. وبهذه المناسبة تُعَطَّل الحوزة العلمية المقدسة في قم يومي السبت والأحد. (كانت هذه الرسالة لدى الحاج السيد باقر الكلبايكاني وقد ا</w:t>
      </w:r>
      <w:r w:rsidRPr="006E28E9">
        <w:rPr>
          <w:rFonts w:hint="cs"/>
          <w:rtl/>
        </w:rPr>
        <w:t>طَّلعتُ عليها</w:t>
      </w:r>
      <w:r w:rsidRPr="006E28E9">
        <w:rPr>
          <w:rStyle w:val="FootnoteReference"/>
          <w:rFonts w:hint="cs"/>
          <w:vertAlign w:val="baseline"/>
          <w:rtl/>
        </w:rPr>
        <w:t xml:space="preserve"> عنده).</w:t>
      </w:r>
    </w:p>
  </w:footnote>
  <w:footnote w:id="432">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نُشِر هذا الكتاب تحت اسم مستعار هو السيد مهدي الموسوي. وقد اشتكى مؤلف الرسالة في هذا الكتاب كثيرًا من م</w:t>
      </w:r>
      <w:r w:rsidRPr="006E28E9">
        <w:rPr>
          <w:rFonts w:hint="cs"/>
          <w:rtl/>
        </w:rPr>
        <w:t>هاجمة</w:t>
      </w:r>
      <w:r w:rsidRPr="006E28E9">
        <w:rPr>
          <w:rStyle w:val="FootnoteReference"/>
          <w:rFonts w:hint="cs"/>
          <w:vertAlign w:val="baseline"/>
          <w:rtl/>
        </w:rPr>
        <w:t xml:space="preserve"> علماء الدين التقليديين للدكتور شريعتي الذي اعتبره معلم الثورة.</w:t>
      </w:r>
    </w:p>
  </w:footnote>
  <w:footnote w:id="433">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يمكننا أن نلاحظ إطار هذه الرؤية والنظرة لرجال الدين في كتاب «</w:t>
      </w:r>
      <w:r>
        <w:rPr>
          <w:rStyle w:val="Char9"/>
          <w:rFonts w:hint="cs"/>
          <w:sz w:val="20"/>
          <w:szCs w:val="20"/>
          <w:rtl/>
        </w:rPr>
        <w:t>ک</w:t>
      </w:r>
      <w:r w:rsidRPr="008C7124">
        <w:rPr>
          <w:rStyle w:val="Char9"/>
          <w:rFonts w:hint="cs"/>
          <w:sz w:val="20"/>
          <w:szCs w:val="20"/>
          <w:rtl/>
        </w:rPr>
        <w:t>اوشى درباره روحان</w:t>
      </w:r>
      <w:r>
        <w:rPr>
          <w:rStyle w:val="Char9"/>
          <w:rFonts w:hint="cs"/>
          <w:sz w:val="20"/>
          <w:szCs w:val="20"/>
          <w:rtl/>
        </w:rPr>
        <w:t>ی</w:t>
      </w:r>
      <w:r w:rsidRPr="008C7124">
        <w:rPr>
          <w:rStyle w:val="Char9"/>
          <w:rFonts w:hint="cs"/>
          <w:sz w:val="20"/>
          <w:szCs w:val="20"/>
          <w:rtl/>
        </w:rPr>
        <w:t>ت</w:t>
      </w:r>
      <w:r w:rsidRPr="006E28E9">
        <w:rPr>
          <w:rStyle w:val="FootnoteReference"/>
          <w:rFonts w:hint="cs"/>
          <w:vertAlign w:val="baseline"/>
          <w:rtl/>
        </w:rPr>
        <w:t xml:space="preserve">» [بحث حول مؤسسة علماء الدين]، تأليف ع. باقي والذي نُشِر في قم سنة 1364 هـ.ش </w:t>
      </w:r>
      <w:r w:rsidRPr="006E28E9">
        <w:rPr>
          <w:rFonts w:hint="cs"/>
          <w:rtl/>
        </w:rPr>
        <w:t xml:space="preserve">[1985م]. </w:t>
      </w:r>
      <w:r w:rsidRPr="006E28E9">
        <w:rPr>
          <w:rStyle w:val="FootnoteReference"/>
          <w:rFonts w:hint="cs"/>
          <w:vertAlign w:val="baseline"/>
          <w:rtl/>
        </w:rPr>
        <w:t>كان الكاتب في ذلك الزمن واقعاً تحت تأثير الأفكار المتطرفة لهذه المجموعة بشأن مسائل الثورة الأساسية. فمثلاً، في هذا الكتاب أُدينَت شخصية مثل المرحوم آية الله السيد نور الدين الحسيني الشيرازي مؤسس حزب «برادران شيراز» [الإخوة الشيرازيون]، كما أُدين</w:t>
      </w:r>
      <w:r w:rsidRPr="006E28E9">
        <w:rPr>
          <w:rFonts w:hint="cs"/>
          <w:rtl/>
        </w:rPr>
        <w:t>ت</w:t>
      </w:r>
      <w:r w:rsidRPr="006E28E9">
        <w:rPr>
          <w:rStyle w:val="FootnoteReference"/>
          <w:rFonts w:hint="cs"/>
          <w:vertAlign w:val="baseline"/>
          <w:rtl/>
        </w:rPr>
        <w:t xml:space="preserve"> كثير من الشخصيات البارزة الشيعية الأخرى انطلاقاً من توهُّم معاداة تلك الشخصيات للأفكار المتطرفة لمثل هذه المجموعات، هذا دون أن يكون للمؤلف أدنى علم أو اطلاع استناداً إلى مصادر موثوقة على نشاطاتهم وجهودهم كماً وكيفاً.</w:t>
      </w:r>
    </w:p>
  </w:footnote>
  <w:footnote w:id="434">
    <w:p w:rsidR="008C7124" w:rsidRPr="006E28E9" w:rsidRDefault="008C7124" w:rsidP="0092648A">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خاطرات آ</w:t>
      </w:r>
      <w:r>
        <w:rPr>
          <w:rStyle w:val="Char9"/>
          <w:rFonts w:hint="cs"/>
          <w:sz w:val="20"/>
          <w:szCs w:val="20"/>
          <w:rtl/>
        </w:rPr>
        <w:t>ی</w:t>
      </w:r>
      <w:r w:rsidRPr="008C7124">
        <w:rPr>
          <w:rStyle w:val="Char9"/>
          <w:rFonts w:hint="cs"/>
          <w:sz w:val="20"/>
          <w:szCs w:val="20"/>
          <w:rtl/>
        </w:rPr>
        <w:t>ت الله طاهرى خرم آبادى</w:t>
      </w:r>
      <w:r w:rsidRPr="006E28E9">
        <w:rPr>
          <w:rStyle w:val="FootnoteReference"/>
          <w:rFonts w:hint="cs"/>
          <w:vertAlign w:val="baseline"/>
          <w:rtl/>
        </w:rPr>
        <w:t xml:space="preserve"> [مذكرات آية الله طاهري خرم آبادي]، ص 135.</w:t>
      </w:r>
    </w:p>
  </w:footnote>
  <w:footnote w:id="435">
    <w:p w:rsidR="008C7124" w:rsidRPr="006E28E9" w:rsidRDefault="008C7124" w:rsidP="00154F58">
      <w:pPr>
        <w:pStyle w:val="FootnoteText"/>
        <w:rPr>
          <w:rStyle w:val="FootnoteReference"/>
          <w:vertAlign w:val="baseline"/>
        </w:rPr>
      </w:pPr>
      <w:r w:rsidRPr="006E28E9">
        <w:rPr>
          <w:rStyle w:val="FootnoteReference"/>
          <w:rFonts w:ascii="Arabic11 BT" w:hAnsi="Arabic11 BT" w:cs="Arabic11 BT"/>
          <w:vertAlign w:val="baseline"/>
        </w:rPr>
        <w:footnoteRef/>
      </w:r>
      <w:r w:rsidRPr="006E28E9">
        <w:rPr>
          <w:rStyle w:val="FootnoteReference"/>
          <w:rFonts w:hint="cs"/>
          <w:vertAlign w:val="baseline"/>
          <w:rtl/>
        </w:rPr>
        <w:t xml:space="preserve">. انظروا: </w:t>
      </w:r>
      <w:r w:rsidRPr="008C7124">
        <w:rPr>
          <w:rStyle w:val="Char9"/>
          <w:rFonts w:hint="cs"/>
          <w:sz w:val="20"/>
          <w:szCs w:val="20"/>
          <w:rtl/>
        </w:rPr>
        <w:t>آ</w:t>
      </w:r>
      <w:r>
        <w:rPr>
          <w:rStyle w:val="Char9"/>
          <w:rFonts w:hint="cs"/>
          <w:sz w:val="20"/>
          <w:szCs w:val="20"/>
          <w:rtl/>
        </w:rPr>
        <w:t>ی</w:t>
      </w:r>
      <w:r w:rsidR="00154F58">
        <w:rPr>
          <w:rStyle w:val="Char9"/>
          <w:rFonts w:hint="cs"/>
          <w:sz w:val="20"/>
          <w:szCs w:val="20"/>
          <w:rtl/>
        </w:rPr>
        <w:t>ت</w:t>
      </w:r>
      <w:r w:rsidRPr="008C7124">
        <w:rPr>
          <w:rStyle w:val="Char9"/>
          <w:rFonts w:hint="cs"/>
          <w:sz w:val="20"/>
          <w:szCs w:val="20"/>
          <w:rtl/>
        </w:rPr>
        <w:t xml:space="preserve"> الله گلپا</w:t>
      </w:r>
      <w:r>
        <w:rPr>
          <w:rStyle w:val="Char9"/>
          <w:rFonts w:hint="cs"/>
          <w:sz w:val="20"/>
          <w:szCs w:val="20"/>
          <w:rtl/>
        </w:rPr>
        <w:t>ی</w:t>
      </w:r>
      <w:r w:rsidRPr="008C7124">
        <w:rPr>
          <w:rStyle w:val="Char9"/>
          <w:rFonts w:hint="cs"/>
          <w:sz w:val="20"/>
          <w:szCs w:val="20"/>
          <w:rtl/>
        </w:rPr>
        <w:t>گانى به روا</w:t>
      </w:r>
      <w:r>
        <w:rPr>
          <w:rStyle w:val="Char9"/>
          <w:rFonts w:hint="cs"/>
          <w:sz w:val="20"/>
          <w:szCs w:val="20"/>
          <w:rtl/>
        </w:rPr>
        <w:t>ی</w:t>
      </w:r>
      <w:r w:rsidRPr="008C7124">
        <w:rPr>
          <w:rStyle w:val="Char9"/>
          <w:rFonts w:hint="cs"/>
          <w:sz w:val="20"/>
          <w:szCs w:val="20"/>
          <w:rtl/>
        </w:rPr>
        <w:t>ت اسناد ساوا</w:t>
      </w:r>
      <w:r>
        <w:rPr>
          <w:rStyle w:val="Char9"/>
          <w:rFonts w:hint="cs"/>
          <w:sz w:val="20"/>
          <w:szCs w:val="20"/>
          <w:rtl/>
        </w:rPr>
        <w:t>ک</w:t>
      </w:r>
      <w:r w:rsidRPr="006E28E9">
        <w:rPr>
          <w:rStyle w:val="FootnoteReference"/>
          <w:rFonts w:hint="cs"/>
          <w:vertAlign w:val="baseline"/>
          <w:rtl/>
        </w:rPr>
        <w:t xml:space="preserve"> [آية الله كلبايكاني في رواية وثائق السافاك]، ج 3، ص 4 - 5.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24" w:rsidRPr="004208F4" w:rsidRDefault="008C7124" w:rsidP="006A084B">
    <w:pPr>
      <w:pStyle w:val="Header"/>
      <w:tabs>
        <w:tab w:val="clear" w:pos="4320"/>
        <w:tab w:val="left" w:pos="1133"/>
        <w:tab w:val="center" w:pos="1275"/>
        <w:tab w:val="center" w:pos="1417"/>
        <w:tab w:val="right" w:pos="7370"/>
      </w:tabs>
      <w:spacing w:after="120"/>
      <w:ind w:left="284" w:right="284"/>
      <w:jc w:val="both"/>
      <w:rPr>
        <w:rFonts w:ascii="mylotus" w:hAnsi="mylotus" w:cs="Times New Roman"/>
        <w:b/>
        <w:bCs/>
        <w:sz w:val="27"/>
        <w:szCs w:val="27"/>
        <w:rtl/>
        <w:lang w:bidi="fa-IR"/>
      </w:rPr>
    </w:pPr>
    <w:r>
      <w:rPr>
        <w:rFonts w:ascii="mylotus" w:hAnsi="mylotus" w:cs="mylotus"/>
        <w:b/>
        <w:bCs/>
        <w:noProof/>
        <w:sz w:val="27"/>
        <w:szCs w:val="27"/>
        <w:rtl/>
      </w:rPr>
      <mc:AlternateContent>
        <mc:Choice Requires="wps">
          <w:drawing>
            <wp:anchor distT="0" distB="0" distL="114300" distR="114300" simplePos="0" relativeHeight="251656704" behindDoc="0" locked="0" layoutInCell="1" allowOverlap="1" wp14:anchorId="09BD2C75" wp14:editId="395F4B03">
              <wp:simplePos x="0" y="0"/>
              <wp:positionH relativeFrom="column">
                <wp:posOffset>0</wp:posOffset>
              </wp:positionH>
              <wp:positionV relativeFrom="paragraph">
                <wp:posOffset>330835</wp:posOffset>
              </wp:positionV>
              <wp:extent cx="4860290" cy="0"/>
              <wp:effectExtent l="0" t="19050" r="1651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05pt" to="382.7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s9Hw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" strokeweight="3pt">
              <v:stroke linestyle="thinThin"/>
            </v:line>
          </w:pict>
        </mc:Fallback>
      </mc:AlternateContent>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F3250C">
      <w:rPr>
        <w:rFonts w:ascii="mylotus" w:hAnsi="mylotus" w:cs="mylotus"/>
        <w:b/>
        <w:bCs/>
        <w:noProof/>
        <w:sz w:val="27"/>
        <w:szCs w:val="27"/>
        <w:rtl/>
      </w:rPr>
      <w:t>202</w:t>
    </w:r>
    <w:r w:rsidRPr="0071378B">
      <w:rPr>
        <w:rFonts w:ascii="mylotus" w:hAnsi="mylotus" w:cs="mylotus"/>
        <w:b/>
        <w:bCs/>
        <w:sz w:val="27"/>
        <w:szCs w:val="27"/>
        <w:rtl/>
      </w:rPr>
      <w:fldChar w:fldCharType="end"/>
    </w:r>
    <w:r w:rsidRPr="0071378B">
      <w:rPr>
        <w:rFonts w:ascii="mylotus" w:hAnsi="mylotus" w:cs="mylotus"/>
        <w:b/>
        <w:bCs/>
        <w:sz w:val="27"/>
        <w:szCs w:val="27"/>
        <w:rtl/>
      </w:rPr>
      <w:tab/>
    </w:r>
    <w:r w:rsidRPr="0071378B">
      <w:rPr>
        <w:rFonts w:ascii="mylotus" w:hAnsi="mylotus" w:cs="mylotus"/>
        <w:b/>
        <w:bCs/>
        <w:sz w:val="27"/>
        <w:szCs w:val="27"/>
        <w:rtl/>
      </w:rPr>
      <w:tab/>
    </w:r>
    <w:r w:rsidRPr="0071378B">
      <w:rPr>
        <w:rFonts w:ascii="mylotus" w:hAnsi="mylotus" w:cs="mylotus"/>
        <w:b/>
        <w:bCs/>
        <w:sz w:val="27"/>
        <w:szCs w:val="27"/>
        <w:rtl/>
      </w:rPr>
      <w:tab/>
    </w:r>
    <w:r w:rsidRPr="0071378B">
      <w:rPr>
        <w:rFonts w:ascii="mylotus" w:hAnsi="mylotus" w:cs="mylotus"/>
        <w:b/>
        <w:bCs/>
        <w:sz w:val="27"/>
        <w:szCs w:val="27"/>
        <w:rtl/>
      </w:rPr>
      <w:tab/>
    </w:r>
    <w:r w:rsidR="004208F4">
      <w:rPr>
        <w:rFonts w:ascii="mylotus" w:hAnsi="mylotus" w:cs="mylotus" w:hint="cs"/>
        <w:b/>
        <w:bCs/>
        <w:sz w:val="27"/>
        <w:szCs w:val="27"/>
        <w:rtl/>
        <w:lang w:bidi="fa-IR"/>
      </w:rPr>
      <w:t xml:space="preserve">ترجمة </w:t>
    </w:r>
    <w:r w:rsidR="006A084B">
      <w:rPr>
        <w:rFonts w:ascii="mylotus" w:hAnsi="mylotus" w:cs="mylotus" w:hint="cs"/>
        <w:b/>
        <w:bCs/>
        <w:sz w:val="27"/>
        <w:szCs w:val="27"/>
        <w:rtl/>
        <w:lang w:bidi="fa-IR"/>
      </w:rPr>
      <w:t>جزء</w:t>
    </w:r>
    <w:r w:rsidR="004208F4">
      <w:rPr>
        <w:rFonts w:ascii="mylotus" w:hAnsi="mylotus" w:cs="mylotus" w:hint="cs"/>
        <w:b/>
        <w:bCs/>
        <w:sz w:val="27"/>
        <w:szCs w:val="27"/>
        <w:rtl/>
        <w:lang w:bidi="fa-IR"/>
      </w:rPr>
      <w:t xml:space="preserve"> </w:t>
    </w:r>
    <w:r w:rsidR="006A084B">
      <w:rPr>
        <w:rFonts w:ascii="mylotus" w:hAnsi="mylotus" w:cs="mylotus" w:hint="cs"/>
        <w:b/>
        <w:bCs/>
        <w:sz w:val="27"/>
        <w:szCs w:val="27"/>
        <w:rtl/>
        <w:lang w:bidi="fa-IR"/>
      </w:rPr>
      <w:t xml:space="preserve">من </w:t>
    </w:r>
    <w:r w:rsidR="004208F4">
      <w:rPr>
        <w:rFonts w:ascii="mylotus" w:hAnsi="mylotus" w:cs="mylotus" w:hint="cs"/>
        <w:b/>
        <w:bCs/>
        <w:sz w:val="27"/>
        <w:szCs w:val="27"/>
        <w:rtl/>
        <w:lang w:bidi="fa-IR"/>
      </w:rPr>
      <w:t xml:space="preserve">کتاب: </w:t>
    </w:r>
    <w:r w:rsidR="004208F4" w:rsidRPr="004208F4">
      <w:rPr>
        <w:rFonts w:ascii="mylotus" w:hAnsi="mylotus" w:cs="mylotus" w:hint="cs"/>
        <w:b/>
        <w:bCs/>
        <w:spacing w:val="-4"/>
        <w:sz w:val="27"/>
        <w:szCs w:val="27"/>
        <w:rtl/>
        <w:lang w:bidi="fa-IR"/>
      </w:rPr>
      <w:t>(جریان</w:t>
    </w:r>
    <w:r w:rsidR="004208F4" w:rsidRPr="004208F4">
      <w:rPr>
        <w:rFonts w:ascii="mylotus" w:hAnsi="mylotus" w:cs="Times New Roman" w:hint="cs"/>
        <w:b/>
        <w:bCs/>
        <w:spacing w:val="-4"/>
        <w:sz w:val="27"/>
        <w:szCs w:val="27"/>
        <w:rtl/>
        <w:lang w:bidi="fa-IR"/>
      </w:rPr>
      <w:t>‌</w:t>
    </w:r>
    <w:r w:rsidR="004208F4" w:rsidRPr="004208F4">
      <w:rPr>
        <w:rFonts w:ascii="mylotus" w:hAnsi="mylotus" w:cs="mylotus" w:hint="cs"/>
        <w:b/>
        <w:bCs/>
        <w:spacing w:val="-4"/>
        <w:sz w:val="27"/>
        <w:szCs w:val="27"/>
        <w:rtl/>
        <w:lang w:bidi="fa-IR"/>
      </w:rPr>
      <w:t>ها و سازمان</w:t>
    </w:r>
    <w:r w:rsidR="004208F4" w:rsidRPr="004208F4">
      <w:rPr>
        <w:rFonts w:ascii="mylotus" w:hAnsi="mylotus" w:cs="Times New Roman" w:hint="cs"/>
        <w:b/>
        <w:bCs/>
        <w:spacing w:val="-4"/>
        <w:sz w:val="27"/>
        <w:szCs w:val="27"/>
        <w:rtl/>
        <w:lang w:bidi="fa-IR"/>
      </w:rPr>
      <w:t>‌</w:t>
    </w:r>
    <w:r w:rsidR="006A084B">
      <w:rPr>
        <w:rFonts w:ascii="mylotus" w:hAnsi="mylotus" w:cs="mylotus" w:hint="cs"/>
        <w:b/>
        <w:bCs/>
        <w:spacing w:val="-4"/>
        <w:sz w:val="27"/>
        <w:szCs w:val="27"/>
        <w:rtl/>
        <w:lang w:bidi="fa-IR"/>
      </w:rPr>
      <w:t>هاي سیاسي</w:t>
    </w:r>
    <w:r w:rsidR="004208F4" w:rsidRPr="004208F4">
      <w:rPr>
        <w:rFonts w:ascii="mylotus" w:hAnsi="mylotus" w:cs="mylotus" w:hint="cs"/>
        <w:b/>
        <w:bCs/>
        <w:spacing w:val="-4"/>
        <w:sz w:val="27"/>
        <w:szCs w:val="27"/>
        <w:rtl/>
        <w:lang w:bidi="fa-IR"/>
      </w:rPr>
      <w:t xml:space="preserve"> </w:t>
    </w:r>
    <w:r w:rsidR="006A084B">
      <w:rPr>
        <w:rFonts w:ascii="mylotus" w:hAnsi="mylotus" w:cs="mylotus" w:hint="cs"/>
        <w:b/>
        <w:bCs/>
        <w:spacing w:val="-4"/>
        <w:sz w:val="27"/>
        <w:szCs w:val="27"/>
        <w:rtl/>
        <w:lang w:bidi="fa-IR"/>
      </w:rPr>
      <w:t>مذهبي</w:t>
    </w:r>
    <w:r w:rsidR="004208F4" w:rsidRPr="004208F4">
      <w:rPr>
        <w:rFonts w:ascii="mylotus" w:hAnsi="mylotus" w:cs="mylotus" w:hint="cs"/>
        <w:b/>
        <w:bCs/>
        <w:spacing w:val="-4"/>
        <w:sz w:val="27"/>
        <w:szCs w:val="27"/>
        <w:rtl/>
        <w:lang w:bidi="fa-IR"/>
      </w:rPr>
      <w:t xml:space="preserve"> </w:t>
    </w:r>
    <w:r w:rsidR="006A084B">
      <w:rPr>
        <w:rFonts w:ascii="mylotus" w:hAnsi="mylotus" w:cs="mylotus" w:hint="cs"/>
        <w:b/>
        <w:bCs/>
        <w:spacing w:val="-4"/>
        <w:sz w:val="27"/>
        <w:szCs w:val="27"/>
        <w:rtl/>
        <w:lang w:bidi="fa-IR"/>
      </w:rPr>
      <w:t>إ</w:t>
    </w:r>
    <w:r w:rsidR="004208F4" w:rsidRPr="004208F4">
      <w:rPr>
        <w:rFonts w:ascii="mylotus" w:hAnsi="mylotus" w:cs="mylotus" w:hint="cs"/>
        <w:b/>
        <w:bCs/>
        <w:spacing w:val="-4"/>
        <w:sz w:val="27"/>
        <w:szCs w:val="27"/>
        <w:rtl/>
        <w:lang w:bidi="fa-IR"/>
      </w:rPr>
      <w:t>یران)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24" w:rsidRPr="0071378B" w:rsidRDefault="008C7124" w:rsidP="00D418F3">
    <w:pPr>
      <w:pStyle w:val="Header"/>
      <w:tabs>
        <w:tab w:val="clear" w:pos="4320"/>
        <w:tab w:val="left" w:pos="254"/>
        <w:tab w:val="center" w:pos="6378"/>
        <w:tab w:val="right" w:pos="7370"/>
      </w:tabs>
      <w:spacing w:after="120"/>
      <w:ind w:left="284" w:right="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55680" behindDoc="0" locked="0" layoutInCell="1" allowOverlap="1" wp14:anchorId="3CA8DA1B" wp14:editId="34C420F1">
              <wp:simplePos x="0" y="0"/>
              <wp:positionH relativeFrom="column">
                <wp:posOffset>0</wp:posOffset>
              </wp:positionH>
              <wp:positionV relativeFrom="paragraph">
                <wp:posOffset>303530</wp:posOffset>
              </wp:positionV>
              <wp:extent cx="4860290" cy="0"/>
              <wp:effectExtent l="28575" t="27305" r="2603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&#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H8twTEhAgAAPgQAAA4AAAAAAAAAAAAAAAAALgIAAGRycy9lMm9Eb2MueG1sUEsBAi0A&#10;FAAGAAgAAAAhAKm0revYAAAABgEAAA8AAAAAAAAAAAAAAAAAewQAAGRycy9kb3ducmV2LnhtbFBL&#10;BQYAAAAABAAEAPMAAACABQAAAAA=&#10;" strokeweight="3pt">
              <v:stroke linestyle="thinThin"/>
            </v:line>
          </w:pict>
        </mc:Fallback>
      </mc:AlternateContent>
    </w:r>
    <w:r w:rsidRPr="0071378B">
      <w:rPr>
        <w:rFonts w:ascii="mylotus" w:hAnsi="mylotus" w:cs="mylotus" w:hint="cs"/>
        <w:b/>
        <w:bCs/>
        <w:sz w:val="27"/>
        <w:szCs w:val="27"/>
        <w:rtl/>
        <w:lang w:bidi="fa-IR"/>
      </w:rPr>
      <w:t>فهرس المحتويات</w:t>
    </w:r>
    <w:r w:rsidRPr="0071378B">
      <w:rPr>
        <w:rFonts w:ascii="mylotus" w:hAnsi="mylotus" w:cs="mylotus"/>
        <w:b/>
        <w:bCs/>
        <w:sz w:val="27"/>
        <w:szCs w:val="27"/>
        <w:rtl/>
      </w:rPr>
      <w:tab/>
    </w:r>
    <w:r w:rsidRPr="0071378B">
      <w:rPr>
        <w:rFonts w:ascii="mylotus" w:hAnsi="mylotus" w:cs="mylotus"/>
        <w:b/>
        <w:bCs/>
        <w:sz w:val="27"/>
        <w:szCs w:val="27"/>
        <w:rtl/>
      </w:rPr>
      <w:tab/>
    </w:r>
    <w:r w:rsidRPr="0071378B">
      <w:rPr>
        <w:rFonts w:ascii="mylotus" w:hAnsi="mylotus" w:cs="mylotus"/>
        <w:b/>
        <w:bCs/>
        <w:sz w:val="27"/>
        <w:szCs w:val="27"/>
        <w:rtl/>
      </w:rPr>
      <w:fldChar w:fldCharType="begin"/>
    </w:r>
    <w:r w:rsidRPr="0071378B">
      <w:rPr>
        <w:rFonts w:ascii="mylotus" w:hAnsi="mylotus" w:cs="mylotus"/>
        <w:b/>
        <w:bCs/>
        <w:sz w:val="27"/>
        <w:szCs w:val="27"/>
      </w:rPr>
      <w:instrText xml:space="preserve"> PAGE </w:instrText>
    </w:r>
    <w:r w:rsidRPr="0071378B">
      <w:rPr>
        <w:rFonts w:ascii="mylotus" w:hAnsi="mylotus" w:cs="mylotus"/>
        <w:b/>
        <w:bCs/>
        <w:sz w:val="27"/>
        <w:szCs w:val="27"/>
        <w:rtl/>
      </w:rPr>
      <w:fldChar w:fldCharType="separate"/>
    </w:r>
    <w:r w:rsidR="00154F58">
      <w:rPr>
        <w:rFonts w:ascii="Times New Roman" w:hAnsi="Times New Roman" w:cs="Times New Roman" w:hint="cs"/>
        <w:b/>
        <w:bCs/>
        <w:noProof/>
        <w:sz w:val="27"/>
        <w:szCs w:val="27"/>
        <w:rtl/>
      </w:rPr>
      <w:t>‌</w:t>
    </w:r>
    <w:r w:rsidR="00154F58">
      <w:rPr>
        <w:rFonts w:ascii="mylotus" w:hAnsi="mylotus" w:cs="mylotus" w:hint="cs"/>
        <w:b/>
        <w:bCs/>
        <w:noProof/>
        <w:sz w:val="27"/>
        <w:szCs w:val="27"/>
        <w:rtl/>
      </w:rPr>
      <w:t>ز</w:t>
    </w:r>
    <w:r w:rsidRPr="0071378B">
      <w:rPr>
        <w:rFonts w:ascii="mylotus" w:hAnsi="mylotus" w:cs="mylotus"/>
        <w:b/>
        <w:bCs/>
        <w:sz w:val="27"/>
        <w:szCs w:val="27"/>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24" w:rsidRPr="00580B7E" w:rsidRDefault="008C7124" w:rsidP="00DB21FB">
    <w:pPr>
      <w:pStyle w:val="Header"/>
      <w:rPr>
        <w:rFonts w:ascii="Lotus Linotype" w:hAnsi="Lotus Linotype" w:cs="Lotus Linotype"/>
        <w:sz w:val="52"/>
        <w:szCs w:val="52"/>
        <w:rtl/>
        <w:lang w:bidi="fa-IR"/>
      </w:rPr>
    </w:pPr>
  </w:p>
  <w:p w:rsidR="008C7124" w:rsidRPr="00580B7E" w:rsidRDefault="008C7124" w:rsidP="00DB21FB">
    <w:pPr>
      <w:pStyle w:val="Header"/>
      <w:rPr>
        <w:rFonts w:ascii="Lotus Linotype" w:hAnsi="Lotus Linotype" w:cs="Lotus Linotype"/>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124" w:rsidRPr="000A3B04" w:rsidRDefault="008C7124" w:rsidP="004C140E">
    <w:pPr>
      <w:pStyle w:val="Header"/>
      <w:tabs>
        <w:tab w:val="clear" w:pos="4320"/>
        <w:tab w:val="left" w:pos="254"/>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59776" behindDoc="0" locked="0" layoutInCell="1" allowOverlap="1" wp14:anchorId="1019DC62" wp14:editId="4B284D81">
              <wp:simplePos x="0" y="0"/>
              <wp:positionH relativeFrom="column">
                <wp:posOffset>0</wp:posOffset>
              </wp:positionH>
              <wp:positionV relativeFrom="paragraph">
                <wp:posOffset>303530</wp:posOffset>
              </wp:positionV>
              <wp:extent cx="4860290" cy="0"/>
              <wp:effectExtent l="28575" t="27305" r="26035" b="2032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wIA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&#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lz/hsCACAAA/BAAADgAAAAAAAAAAAAAAAAAuAgAAZHJzL2Uyb0RvYy54bWxQSwECLQAU&#10;AAYACAAAACEAqbSt69gAAAAGAQAADwAAAAAAAAAAAAAAAAB6BAAAZHJzL2Rvd25yZXYueG1sUEsF&#10;BgAAAAAEAAQA8wAAAH8FAAAAAA==&#10;" strokeweight="3pt">
              <v:stroke linestyle="thinThin"/>
            </v:line>
          </w:pict>
        </mc:Fallback>
      </mc:AlternateContent>
    </w:r>
    <w:r w:rsidR="004208F4">
      <w:rPr>
        <w:rFonts w:ascii="mylotus" w:hAnsi="mylotus" w:cs="mylotus" w:hint="cs"/>
        <w:b/>
        <w:bCs/>
        <w:sz w:val="27"/>
        <w:szCs w:val="27"/>
        <w:rtl/>
        <w:lang w:bidi="ar-QA"/>
      </w:rPr>
      <w:t>المقدمة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F3250C">
      <w:rPr>
        <w:rFonts w:ascii="mylotus" w:hAnsi="mylotus" w:cs="mylotus"/>
        <w:b/>
        <w:bCs/>
        <w:noProof/>
        <w:sz w:val="27"/>
        <w:szCs w:val="27"/>
        <w:rtl/>
        <w:lang w:bidi="ar-QA"/>
      </w:rPr>
      <w:t>7</w:t>
    </w:r>
    <w:r w:rsidRPr="000A3B04">
      <w:rPr>
        <w:rFonts w:ascii="mylotus" w:hAnsi="mylotus" w:cs="mylotus"/>
        <w:b/>
        <w:bCs/>
        <w:sz w:val="27"/>
        <w:szCs w:val="27"/>
        <w:rtl/>
        <w:lang w:bidi="ar-Q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8F4" w:rsidRPr="000A3B04" w:rsidRDefault="004208F4" w:rsidP="004208F4">
    <w:pPr>
      <w:pStyle w:val="Header"/>
      <w:tabs>
        <w:tab w:val="clear" w:pos="4320"/>
        <w:tab w:val="left" w:pos="254"/>
        <w:tab w:val="left" w:pos="5205"/>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1824" behindDoc="0" locked="0" layoutInCell="1" allowOverlap="1" wp14:anchorId="04FED745" wp14:editId="3F95192E">
              <wp:simplePos x="0" y="0"/>
              <wp:positionH relativeFrom="column">
                <wp:posOffset>0</wp:posOffset>
              </wp:positionH>
              <wp:positionV relativeFrom="paragraph">
                <wp:posOffset>322580</wp:posOffset>
              </wp:positionV>
              <wp:extent cx="4860290" cy="0"/>
              <wp:effectExtent l="0" t="19050" r="16510" b="1905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4pt" to="382.7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rG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i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ar-QA"/>
      </w:rPr>
      <w:t xml:space="preserve">الفصل الأول: </w:t>
    </w:r>
    <w:r>
      <w:rPr>
        <w:rFonts w:ascii="mylotus" w:hAnsi="mylotus" w:cs="mylotus" w:hint="cs"/>
        <w:b/>
        <w:bCs/>
        <w:sz w:val="27"/>
        <w:szCs w:val="27"/>
        <w:rtl/>
      </w:rPr>
      <w:t xml:space="preserve"> عودة الدين إلى الـمجتمع والـمسرح السياسي</w:t>
    </w:r>
    <w:r w:rsidRPr="000A3B04">
      <w:rPr>
        <w:rFonts w:ascii="mylotus" w:hAnsi="mylotus" w:cs="mylotus"/>
        <w:b/>
        <w:bCs/>
        <w:sz w:val="27"/>
        <w:szCs w:val="27"/>
        <w:rtl/>
        <w:lang w:bidi="ar-QA"/>
      </w:rPr>
      <w:tab/>
    </w:r>
    <w:r>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F3250C">
      <w:rPr>
        <w:rFonts w:ascii="mylotus" w:hAnsi="mylotus" w:cs="mylotus"/>
        <w:b/>
        <w:bCs/>
        <w:noProof/>
        <w:sz w:val="27"/>
        <w:szCs w:val="27"/>
        <w:rtl/>
        <w:lang w:bidi="ar-QA"/>
      </w:rPr>
      <w:t>65</w:t>
    </w:r>
    <w:r w:rsidRPr="000A3B04">
      <w:rPr>
        <w:rFonts w:ascii="mylotus" w:hAnsi="mylotus" w:cs="mylotus"/>
        <w:b/>
        <w:bCs/>
        <w:sz w:val="27"/>
        <w:szCs w:val="27"/>
        <w:rtl/>
        <w:lang w:bidi="ar-Q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8F4" w:rsidRPr="000A3B04" w:rsidRDefault="004208F4" w:rsidP="004208F4">
    <w:pPr>
      <w:pStyle w:val="Header"/>
      <w:tabs>
        <w:tab w:val="clear" w:pos="4320"/>
        <w:tab w:val="left" w:pos="254"/>
        <w:tab w:val="left" w:pos="5205"/>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3872" behindDoc="0" locked="0" layoutInCell="1" allowOverlap="1" wp14:anchorId="129AD1DD" wp14:editId="5871D490">
              <wp:simplePos x="0" y="0"/>
              <wp:positionH relativeFrom="column">
                <wp:posOffset>0</wp:posOffset>
              </wp:positionH>
              <wp:positionV relativeFrom="paragraph">
                <wp:posOffset>322580</wp:posOffset>
              </wp:positionV>
              <wp:extent cx="4860290" cy="0"/>
              <wp:effectExtent l="0" t="19050" r="16510" b="1905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4pt" to="382.7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r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ar-QA"/>
      </w:rPr>
      <w:t>الفصل الثاني: مؤسسات الحوزة الثقافية - التعليمية</w:t>
    </w:r>
    <w:r w:rsidRPr="000A3B04">
      <w:rPr>
        <w:rFonts w:ascii="mylotus" w:hAnsi="mylotus" w:cs="mylotus"/>
        <w:b/>
        <w:bCs/>
        <w:sz w:val="27"/>
        <w:szCs w:val="27"/>
        <w:rtl/>
        <w:lang w:bidi="ar-QA"/>
      </w:rPr>
      <w:tab/>
    </w:r>
    <w:r>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F3250C">
      <w:rPr>
        <w:rFonts w:ascii="mylotus" w:hAnsi="mylotus" w:cs="mylotus"/>
        <w:b/>
        <w:bCs/>
        <w:noProof/>
        <w:sz w:val="27"/>
        <w:szCs w:val="27"/>
        <w:rtl/>
        <w:lang w:bidi="ar-QA"/>
      </w:rPr>
      <w:t>87</w:t>
    </w:r>
    <w:r w:rsidRPr="000A3B04">
      <w:rPr>
        <w:rFonts w:ascii="mylotus" w:hAnsi="mylotus" w:cs="mylotus"/>
        <w:b/>
        <w:bCs/>
        <w:sz w:val="27"/>
        <w:szCs w:val="27"/>
        <w:rtl/>
        <w:lang w:bidi="ar-Q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8F4" w:rsidRPr="000A3B04" w:rsidRDefault="004208F4" w:rsidP="004208F4">
    <w:pPr>
      <w:pStyle w:val="Header"/>
      <w:tabs>
        <w:tab w:val="clear" w:pos="4320"/>
        <w:tab w:val="left" w:pos="254"/>
        <w:tab w:val="left" w:pos="5205"/>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5920" behindDoc="0" locked="0" layoutInCell="1" allowOverlap="1" wp14:anchorId="60A9050A" wp14:editId="4F333603">
              <wp:simplePos x="0" y="0"/>
              <wp:positionH relativeFrom="column">
                <wp:posOffset>0</wp:posOffset>
              </wp:positionH>
              <wp:positionV relativeFrom="paragraph">
                <wp:posOffset>322580</wp:posOffset>
              </wp:positionV>
              <wp:extent cx="4860290" cy="0"/>
              <wp:effectExtent l="0" t="19050" r="16510" b="1905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4pt" to="382.7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I6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h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" strokeweight="3pt">
              <v:stroke linestyle="thinThin"/>
            </v:line>
          </w:pict>
        </mc:Fallback>
      </mc:AlternateContent>
    </w:r>
    <w:r>
      <w:rPr>
        <w:rFonts w:ascii="mylotus" w:hAnsi="mylotus" w:cs="mylotus" w:hint="cs"/>
        <w:b/>
        <w:bCs/>
        <w:sz w:val="27"/>
        <w:szCs w:val="27"/>
        <w:rtl/>
        <w:lang w:bidi="ar-QA"/>
      </w:rPr>
      <w:t xml:space="preserve">الفصل الثامن: التيارات الـمطالبة بإعادة النظر في عقائد الشيعة </w:t>
    </w:r>
    <w:r w:rsidRPr="000A3B04">
      <w:rPr>
        <w:rFonts w:ascii="mylotus" w:hAnsi="mylotus" w:cs="mylotus"/>
        <w:b/>
        <w:bCs/>
        <w:sz w:val="27"/>
        <w:szCs w:val="27"/>
        <w:rtl/>
        <w:lang w:bidi="ar-QA"/>
      </w:rPr>
      <w:tab/>
    </w:r>
    <w:r>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lang w:bidi="ar-QA"/>
      </w:rPr>
      <w:instrText xml:space="preserve"> PAGE </w:instrText>
    </w:r>
    <w:r w:rsidRPr="000A3B04">
      <w:rPr>
        <w:rFonts w:ascii="mylotus" w:hAnsi="mylotus" w:cs="mylotus"/>
        <w:b/>
        <w:bCs/>
        <w:sz w:val="27"/>
        <w:szCs w:val="27"/>
        <w:rtl/>
        <w:lang w:bidi="ar-QA"/>
      </w:rPr>
      <w:fldChar w:fldCharType="separate"/>
    </w:r>
    <w:r w:rsidR="00F3250C">
      <w:rPr>
        <w:rFonts w:ascii="mylotus" w:hAnsi="mylotus" w:cs="mylotus"/>
        <w:b/>
        <w:bCs/>
        <w:noProof/>
        <w:sz w:val="27"/>
        <w:szCs w:val="27"/>
        <w:rtl/>
        <w:lang w:bidi="ar-QA"/>
      </w:rPr>
      <w:t>203</w:t>
    </w:r>
    <w:r w:rsidRPr="000A3B04">
      <w:rPr>
        <w:rFonts w:ascii="mylotus" w:hAnsi="mylotus" w:cs="mylotus"/>
        <w:b/>
        <w:bCs/>
        <w:sz w:val="27"/>
        <w:szCs w:val="27"/>
        <w:rtl/>
        <w:lang w:bidi="ar-Q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68414D8"/>
    <w:multiLevelType w:val="hybridMultilevel"/>
    <w:tmpl w:val="6BA65BCC"/>
    <w:lvl w:ilvl="0" w:tplc="E3026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1F511F9"/>
    <w:multiLevelType w:val="hybridMultilevel"/>
    <w:tmpl w:val="502AB154"/>
    <w:lvl w:ilvl="0" w:tplc="BFFE2E14">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9A026A2"/>
    <w:multiLevelType w:val="hybridMultilevel"/>
    <w:tmpl w:val="D7CADD9C"/>
    <w:lvl w:ilvl="0" w:tplc="E3026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D9973C1"/>
    <w:multiLevelType w:val="hybridMultilevel"/>
    <w:tmpl w:val="E774D24C"/>
    <w:lvl w:ilvl="0" w:tplc="E3026A6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0C21D8B"/>
    <w:multiLevelType w:val="hybridMultilevel"/>
    <w:tmpl w:val="1A688BAA"/>
    <w:lvl w:ilvl="0" w:tplc="7A7A28D4">
      <w:start w:val="1"/>
      <w:numFmt w:val="decimal"/>
      <w:pStyle w:val="a"/>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57412A3"/>
    <w:multiLevelType w:val="hybridMultilevel"/>
    <w:tmpl w:val="1B1ED7EA"/>
    <w:lvl w:ilvl="0" w:tplc="E3026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nsid w:val="70CF77B7"/>
    <w:multiLevelType w:val="hybridMultilevel"/>
    <w:tmpl w:val="EC0662B2"/>
    <w:lvl w:ilvl="0" w:tplc="E3026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6"/>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2"/>
  </w:num>
  <w:num w:numId="16">
    <w:abstractNumId w:val="13"/>
  </w:num>
  <w:num w:numId="17">
    <w:abstractNumId w:val="17"/>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attachedTemplate r:id="rId1"/>
  <w:documentProtection w:edit="readOnly" w:enforcement="1" w:cryptProviderType="rsaFull" w:cryptAlgorithmClass="hash" w:cryptAlgorithmType="typeAny" w:cryptAlgorithmSid="4" w:cryptSpinCount="100000" w:hash="HxbZn3gg/z1obxj2kbBOZ518oGU=" w:salt="kKtxtrCkCASx0GIv7GVzSg=="/>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FB"/>
    <w:rsid w:val="00004710"/>
    <w:rsid w:val="00004851"/>
    <w:rsid w:val="00005B6A"/>
    <w:rsid w:val="00006713"/>
    <w:rsid w:val="00007156"/>
    <w:rsid w:val="00014E9B"/>
    <w:rsid w:val="00023010"/>
    <w:rsid w:val="00025641"/>
    <w:rsid w:val="00031E3D"/>
    <w:rsid w:val="00032CAD"/>
    <w:rsid w:val="00036286"/>
    <w:rsid w:val="00037CAB"/>
    <w:rsid w:val="00040532"/>
    <w:rsid w:val="000416C1"/>
    <w:rsid w:val="00041E4D"/>
    <w:rsid w:val="00042842"/>
    <w:rsid w:val="00050A9A"/>
    <w:rsid w:val="00055385"/>
    <w:rsid w:val="00055876"/>
    <w:rsid w:val="00057778"/>
    <w:rsid w:val="000611F0"/>
    <w:rsid w:val="0006363A"/>
    <w:rsid w:val="000639E3"/>
    <w:rsid w:val="00067ED9"/>
    <w:rsid w:val="00080B26"/>
    <w:rsid w:val="00082F0F"/>
    <w:rsid w:val="0008441B"/>
    <w:rsid w:val="00086F3F"/>
    <w:rsid w:val="00092F2C"/>
    <w:rsid w:val="00092FD0"/>
    <w:rsid w:val="00092FF9"/>
    <w:rsid w:val="000A1D81"/>
    <w:rsid w:val="000A3B04"/>
    <w:rsid w:val="000A41CE"/>
    <w:rsid w:val="000B0B04"/>
    <w:rsid w:val="000B2D3F"/>
    <w:rsid w:val="000B4002"/>
    <w:rsid w:val="000C1722"/>
    <w:rsid w:val="000C67BF"/>
    <w:rsid w:val="000C79E6"/>
    <w:rsid w:val="000D186A"/>
    <w:rsid w:val="000D444A"/>
    <w:rsid w:val="000D7C3E"/>
    <w:rsid w:val="000E087B"/>
    <w:rsid w:val="000F153F"/>
    <w:rsid w:val="000F78AD"/>
    <w:rsid w:val="00100606"/>
    <w:rsid w:val="00104151"/>
    <w:rsid w:val="001061C2"/>
    <w:rsid w:val="00106CEF"/>
    <w:rsid w:val="001071D6"/>
    <w:rsid w:val="0010726D"/>
    <w:rsid w:val="0011010E"/>
    <w:rsid w:val="00113049"/>
    <w:rsid w:val="00127684"/>
    <w:rsid w:val="00132AD8"/>
    <w:rsid w:val="00140CDF"/>
    <w:rsid w:val="0014241C"/>
    <w:rsid w:val="00144F72"/>
    <w:rsid w:val="00150076"/>
    <w:rsid w:val="001522D8"/>
    <w:rsid w:val="00153E41"/>
    <w:rsid w:val="00154F58"/>
    <w:rsid w:val="00156C16"/>
    <w:rsid w:val="0016118A"/>
    <w:rsid w:val="00163173"/>
    <w:rsid w:val="0016571F"/>
    <w:rsid w:val="00166538"/>
    <w:rsid w:val="00175337"/>
    <w:rsid w:val="001809AD"/>
    <w:rsid w:val="001818F2"/>
    <w:rsid w:val="001864F0"/>
    <w:rsid w:val="001954FE"/>
    <w:rsid w:val="00197E50"/>
    <w:rsid w:val="001B03EE"/>
    <w:rsid w:val="001B4B92"/>
    <w:rsid w:val="001B7281"/>
    <w:rsid w:val="001B7522"/>
    <w:rsid w:val="001C7FA4"/>
    <w:rsid w:val="001D3D57"/>
    <w:rsid w:val="001D48CF"/>
    <w:rsid w:val="001E146A"/>
    <w:rsid w:val="001E297C"/>
    <w:rsid w:val="001E55F1"/>
    <w:rsid w:val="001E5F43"/>
    <w:rsid w:val="001F0B7B"/>
    <w:rsid w:val="001F3B71"/>
    <w:rsid w:val="00200008"/>
    <w:rsid w:val="00212C2E"/>
    <w:rsid w:val="002166A3"/>
    <w:rsid w:val="00217AD2"/>
    <w:rsid w:val="00223C8F"/>
    <w:rsid w:val="002249CF"/>
    <w:rsid w:val="00231C15"/>
    <w:rsid w:val="002404A5"/>
    <w:rsid w:val="002409E8"/>
    <w:rsid w:val="00240CE0"/>
    <w:rsid w:val="00240EAA"/>
    <w:rsid w:val="0024111C"/>
    <w:rsid w:val="00251853"/>
    <w:rsid w:val="00252184"/>
    <w:rsid w:val="00262057"/>
    <w:rsid w:val="00262158"/>
    <w:rsid w:val="00264212"/>
    <w:rsid w:val="00284EEC"/>
    <w:rsid w:val="002875C6"/>
    <w:rsid w:val="00287DB3"/>
    <w:rsid w:val="00294603"/>
    <w:rsid w:val="002A3BB7"/>
    <w:rsid w:val="002B2CCC"/>
    <w:rsid w:val="002B300F"/>
    <w:rsid w:val="002B7867"/>
    <w:rsid w:val="002C3F46"/>
    <w:rsid w:val="002C43E0"/>
    <w:rsid w:val="002C6FF9"/>
    <w:rsid w:val="002D293A"/>
    <w:rsid w:val="002D4CC4"/>
    <w:rsid w:val="002D54E9"/>
    <w:rsid w:val="002D64F5"/>
    <w:rsid w:val="002E08E1"/>
    <w:rsid w:val="002E129E"/>
    <w:rsid w:val="002E4631"/>
    <w:rsid w:val="002E606F"/>
    <w:rsid w:val="002E66AE"/>
    <w:rsid w:val="002F17CD"/>
    <w:rsid w:val="002F2243"/>
    <w:rsid w:val="002F3D1E"/>
    <w:rsid w:val="00302D9B"/>
    <w:rsid w:val="00303F50"/>
    <w:rsid w:val="00306F94"/>
    <w:rsid w:val="00307171"/>
    <w:rsid w:val="00310B8E"/>
    <w:rsid w:val="00314E05"/>
    <w:rsid w:val="003216A9"/>
    <w:rsid w:val="00324B91"/>
    <w:rsid w:val="003302C0"/>
    <w:rsid w:val="003345FD"/>
    <w:rsid w:val="00340182"/>
    <w:rsid w:val="003414A4"/>
    <w:rsid w:val="00341A38"/>
    <w:rsid w:val="00341C78"/>
    <w:rsid w:val="00341EBC"/>
    <w:rsid w:val="00344B3B"/>
    <w:rsid w:val="00345F33"/>
    <w:rsid w:val="00346636"/>
    <w:rsid w:val="003468E9"/>
    <w:rsid w:val="0035734C"/>
    <w:rsid w:val="0036061A"/>
    <w:rsid w:val="00361002"/>
    <w:rsid w:val="003664C8"/>
    <w:rsid w:val="00381B3A"/>
    <w:rsid w:val="00384A71"/>
    <w:rsid w:val="00384CE2"/>
    <w:rsid w:val="0038636F"/>
    <w:rsid w:val="00386EEF"/>
    <w:rsid w:val="0039048D"/>
    <w:rsid w:val="00391F3D"/>
    <w:rsid w:val="00392E85"/>
    <w:rsid w:val="00397F11"/>
    <w:rsid w:val="003A1E0E"/>
    <w:rsid w:val="003A45A1"/>
    <w:rsid w:val="003B048F"/>
    <w:rsid w:val="003B14BC"/>
    <w:rsid w:val="003B1E23"/>
    <w:rsid w:val="003B409E"/>
    <w:rsid w:val="003B5D31"/>
    <w:rsid w:val="003C5C2E"/>
    <w:rsid w:val="003D27AB"/>
    <w:rsid w:val="003D27B1"/>
    <w:rsid w:val="003D2D59"/>
    <w:rsid w:val="003D4E72"/>
    <w:rsid w:val="003D6B06"/>
    <w:rsid w:val="003D76A5"/>
    <w:rsid w:val="003E3562"/>
    <w:rsid w:val="003E4FEA"/>
    <w:rsid w:val="003E71C4"/>
    <w:rsid w:val="003E7252"/>
    <w:rsid w:val="003E7708"/>
    <w:rsid w:val="003F015C"/>
    <w:rsid w:val="003F1854"/>
    <w:rsid w:val="003F21A2"/>
    <w:rsid w:val="003F2A74"/>
    <w:rsid w:val="004038F3"/>
    <w:rsid w:val="00405DA8"/>
    <w:rsid w:val="00410610"/>
    <w:rsid w:val="00410871"/>
    <w:rsid w:val="004132D6"/>
    <w:rsid w:val="00413616"/>
    <w:rsid w:val="00413DE3"/>
    <w:rsid w:val="00417F95"/>
    <w:rsid w:val="004208F4"/>
    <w:rsid w:val="00420B01"/>
    <w:rsid w:val="00423793"/>
    <w:rsid w:val="004251A2"/>
    <w:rsid w:val="00425222"/>
    <w:rsid w:val="00443624"/>
    <w:rsid w:val="00444936"/>
    <w:rsid w:val="004538D4"/>
    <w:rsid w:val="00457E94"/>
    <w:rsid w:val="00461608"/>
    <w:rsid w:val="00462AB1"/>
    <w:rsid w:val="00470EDD"/>
    <w:rsid w:val="0047198C"/>
    <w:rsid w:val="0047264D"/>
    <w:rsid w:val="004737A7"/>
    <w:rsid w:val="004759A0"/>
    <w:rsid w:val="004765AE"/>
    <w:rsid w:val="00476959"/>
    <w:rsid w:val="00487325"/>
    <w:rsid w:val="00494028"/>
    <w:rsid w:val="00496070"/>
    <w:rsid w:val="00496405"/>
    <w:rsid w:val="00496B2A"/>
    <w:rsid w:val="004C140E"/>
    <w:rsid w:val="004C289D"/>
    <w:rsid w:val="004C2D68"/>
    <w:rsid w:val="004D0210"/>
    <w:rsid w:val="004D4C69"/>
    <w:rsid w:val="004D79B5"/>
    <w:rsid w:val="004E5B93"/>
    <w:rsid w:val="004E762E"/>
    <w:rsid w:val="004F0F12"/>
    <w:rsid w:val="004F12F9"/>
    <w:rsid w:val="004F21A0"/>
    <w:rsid w:val="004F22C0"/>
    <w:rsid w:val="004F6195"/>
    <w:rsid w:val="004F6813"/>
    <w:rsid w:val="00503A90"/>
    <w:rsid w:val="00507C5F"/>
    <w:rsid w:val="005125E8"/>
    <w:rsid w:val="005129BF"/>
    <w:rsid w:val="00515962"/>
    <w:rsid w:val="005341FF"/>
    <w:rsid w:val="00535EA0"/>
    <w:rsid w:val="00536CF6"/>
    <w:rsid w:val="005376F3"/>
    <w:rsid w:val="00540C0F"/>
    <w:rsid w:val="0055651B"/>
    <w:rsid w:val="00557A86"/>
    <w:rsid w:val="00560055"/>
    <w:rsid w:val="00560228"/>
    <w:rsid w:val="00565124"/>
    <w:rsid w:val="0056554D"/>
    <w:rsid w:val="0056635B"/>
    <w:rsid w:val="00566DF8"/>
    <w:rsid w:val="00573CD3"/>
    <w:rsid w:val="00573DB6"/>
    <w:rsid w:val="00575168"/>
    <w:rsid w:val="005868B4"/>
    <w:rsid w:val="00586B62"/>
    <w:rsid w:val="00587413"/>
    <w:rsid w:val="00592009"/>
    <w:rsid w:val="0059377E"/>
    <w:rsid w:val="00594BA3"/>
    <w:rsid w:val="005973F2"/>
    <w:rsid w:val="005B141F"/>
    <w:rsid w:val="005B672F"/>
    <w:rsid w:val="005B77BD"/>
    <w:rsid w:val="005C0761"/>
    <w:rsid w:val="005C5CBA"/>
    <w:rsid w:val="005C639A"/>
    <w:rsid w:val="005C6637"/>
    <w:rsid w:val="005C691F"/>
    <w:rsid w:val="005C6E47"/>
    <w:rsid w:val="005D213B"/>
    <w:rsid w:val="005D49E9"/>
    <w:rsid w:val="005D5B3F"/>
    <w:rsid w:val="005E5929"/>
    <w:rsid w:val="005E6B9C"/>
    <w:rsid w:val="005F1D6D"/>
    <w:rsid w:val="005F59CC"/>
    <w:rsid w:val="00601FCD"/>
    <w:rsid w:val="0060359C"/>
    <w:rsid w:val="00603AEE"/>
    <w:rsid w:val="00607CD2"/>
    <w:rsid w:val="0061076B"/>
    <w:rsid w:val="006144C4"/>
    <w:rsid w:val="0061510B"/>
    <w:rsid w:val="00616530"/>
    <w:rsid w:val="00622CB6"/>
    <w:rsid w:val="0062491E"/>
    <w:rsid w:val="00625DF6"/>
    <w:rsid w:val="006330FF"/>
    <w:rsid w:val="00634D81"/>
    <w:rsid w:val="0064353D"/>
    <w:rsid w:val="006435D4"/>
    <w:rsid w:val="006501AD"/>
    <w:rsid w:val="00650FEC"/>
    <w:rsid w:val="00653931"/>
    <w:rsid w:val="00656168"/>
    <w:rsid w:val="00660BCF"/>
    <w:rsid w:val="0066270D"/>
    <w:rsid w:val="006637EE"/>
    <w:rsid w:val="00663B24"/>
    <w:rsid w:val="00664E56"/>
    <w:rsid w:val="006704BB"/>
    <w:rsid w:val="00670ADC"/>
    <w:rsid w:val="0067198C"/>
    <w:rsid w:val="00676791"/>
    <w:rsid w:val="00683507"/>
    <w:rsid w:val="00683DE7"/>
    <w:rsid w:val="00683EBE"/>
    <w:rsid w:val="006855A0"/>
    <w:rsid w:val="006859AD"/>
    <w:rsid w:val="006914BC"/>
    <w:rsid w:val="00692790"/>
    <w:rsid w:val="006963F6"/>
    <w:rsid w:val="006A0743"/>
    <w:rsid w:val="006A084B"/>
    <w:rsid w:val="006B74CF"/>
    <w:rsid w:val="006C3909"/>
    <w:rsid w:val="006D0CF5"/>
    <w:rsid w:val="006D1FB5"/>
    <w:rsid w:val="006D381E"/>
    <w:rsid w:val="006D4430"/>
    <w:rsid w:val="006D5BC3"/>
    <w:rsid w:val="006E01F0"/>
    <w:rsid w:val="006E28E9"/>
    <w:rsid w:val="006E36DB"/>
    <w:rsid w:val="006E3D23"/>
    <w:rsid w:val="006E6EC7"/>
    <w:rsid w:val="006E777F"/>
    <w:rsid w:val="006F114D"/>
    <w:rsid w:val="006F133E"/>
    <w:rsid w:val="006F31FE"/>
    <w:rsid w:val="006F4472"/>
    <w:rsid w:val="006F4C9E"/>
    <w:rsid w:val="006F6824"/>
    <w:rsid w:val="00700A63"/>
    <w:rsid w:val="00702C5E"/>
    <w:rsid w:val="00702CA6"/>
    <w:rsid w:val="0070416B"/>
    <w:rsid w:val="00705077"/>
    <w:rsid w:val="007053BD"/>
    <w:rsid w:val="0070792F"/>
    <w:rsid w:val="00710174"/>
    <w:rsid w:val="007126CC"/>
    <w:rsid w:val="0071378B"/>
    <w:rsid w:val="007247C8"/>
    <w:rsid w:val="00726180"/>
    <w:rsid w:val="0073455B"/>
    <w:rsid w:val="00737668"/>
    <w:rsid w:val="007443AB"/>
    <w:rsid w:val="00744CFE"/>
    <w:rsid w:val="007505A7"/>
    <w:rsid w:val="0075155F"/>
    <w:rsid w:val="00752143"/>
    <w:rsid w:val="00763E1F"/>
    <w:rsid w:val="007713C2"/>
    <w:rsid w:val="00771634"/>
    <w:rsid w:val="0077409B"/>
    <w:rsid w:val="0078058A"/>
    <w:rsid w:val="00781CFE"/>
    <w:rsid w:val="00784109"/>
    <w:rsid w:val="00790B50"/>
    <w:rsid w:val="00791037"/>
    <w:rsid w:val="00794529"/>
    <w:rsid w:val="0079485F"/>
    <w:rsid w:val="00795622"/>
    <w:rsid w:val="007A24B5"/>
    <w:rsid w:val="007A6DDA"/>
    <w:rsid w:val="007A7CC0"/>
    <w:rsid w:val="007B0FE8"/>
    <w:rsid w:val="007B277F"/>
    <w:rsid w:val="007B4A05"/>
    <w:rsid w:val="007B5A4F"/>
    <w:rsid w:val="007B7176"/>
    <w:rsid w:val="007B718D"/>
    <w:rsid w:val="007C1704"/>
    <w:rsid w:val="007C5165"/>
    <w:rsid w:val="007D21B1"/>
    <w:rsid w:val="007E203D"/>
    <w:rsid w:val="007F4C0A"/>
    <w:rsid w:val="008002B1"/>
    <w:rsid w:val="008003DC"/>
    <w:rsid w:val="0080772D"/>
    <w:rsid w:val="00812E05"/>
    <w:rsid w:val="00813849"/>
    <w:rsid w:val="008165D2"/>
    <w:rsid w:val="00821C92"/>
    <w:rsid w:val="0082467C"/>
    <w:rsid w:val="008270A6"/>
    <w:rsid w:val="00827416"/>
    <w:rsid w:val="008332AC"/>
    <w:rsid w:val="00834E66"/>
    <w:rsid w:val="00835515"/>
    <w:rsid w:val="00835902"/>
    <w:rsid w:val="008450FA"/>
    <w:rsid w:val="00851395"/>
    <w:rsid w:val="00854412"/>
    <w:rsid w:val="008562CF"/>
    <w:rsid w:val="0086032E"/>
    <w:rsid w:val="0086080B"/>
    <w:rsid w:val="00863C6B"/>
    <w:rsid w:val="008703B2"/>
    <w:rsid w:val="008759C3"/>
    <w:rsid w:val="00881CCB"/>
    <w:rsid w:val="00883F7E"/>
    <w:rsid w:val="00891B32"/>
    <w:rsid w:val="0089254E"/>
    <w:rsid w:val="00893084"/>
    <w:rsid w:val="008B17B2"/>
    <w:rsid w:val="008B4B29"/>
    <w:rsid w:val="008B654E"/>
    <w:rsid w:val="008C2A92"/>
    <w:rsid w:val="008C2C4E"/>
    <w:rsid w:val="008C7124"/>
    <w:rsid w:val="008D2497"/>
    <w:rsid w:val="008E2C4C"/>
    <w:rsid w:val="008E384C"/>
    <w:rsid w:val="008E61E9"/>
    <w:rsid w:val="008E6B06"/>
    <w:rsid w:val="008E70AA"/>
    <w:rsid w:val="008E7820"/>
    <w:rsid w:val="008E7E26"/>
    <w:rsid w:val="008F02C6"/>
    <w:rsid w:val="008F3DE7"/>
    <w:rsid w:val="008F4102"/>
    <w:rsid w:val="008F4B60"/>
    <w:rsid w:val="008F5D46"/>
    <w:rsid w:val="008F6CBF"/>
    <w:rsid w:val="008F73F6"/>
    <w:rsid w:val="00907FFC"/>
    <w:rsid w:val="00910AE3"/>
    <w:rsid w:val="00913BDA"/>
    <w:rsid w:val="0091562A"/>
    <w:rsid w:val="009240B7"/>
    <w:rsid w:val="00924380"/>
    <w:rsid w:val="0092648A"/>
    <w:rsid w:val="00926A8C"/>
    <w:rsid w:val="009323B6"/>
    <w:rsid w:val="0093304F"/>
    <w:rsid w:val="00937A66"/>
    <w:rsid w:val="009410B2"/>
    <w:rsid w:val="00944CED"/>
    <w:rsid w:val="009471B2"/>
    <w:rsid w:val="00947D56"/>
    <w:rsid w:val="00951EAE"/>
    <w:rsid w:val="00954EF2"/>
    <w:rsid w:val="00957CC9"/>
    <w:rsid w:val="0096109E"/>
    <w:rsid w:val="0097382E"/>
    <w:rsid w:val="0097413B"/>
    <w:rsid w:val="009774EC"/>
    <w:rsid w:val="00982DBE"/>
    <w:rsid w:val="00983000"/>
    <w:rsid w:val="00984EDE"/>
    <w:rsid w:val="00986BD4"/>
    <w:rsid w:val="00986CB3"/>
    <w:rsid w:val="009971FA"/>
    <w:rsid w:val="009A4EC1"/>
    <w:rsid w:val="009A673D"/>
    <w:rsid w:val="009B35C3"/>
    <w:rsid w:val="009C0E02"/>
    <w:rsid w:val="009C1074"/>
    <w:rsid w:val="009C6CA6"/>
    <w:rsid w:val="009D3985"/>
    <w:rsid w:val="009D4E5E"/>
    <w:rsid w:val="009D6C17"/>
    <w:rsid w:val="009D6E5F"/>
    <w:rsid w:val="009E5534"/>
    <w:rsid w:val="009F4E80"/>
    <w:rsid w:val="009F5763"/>
    <w:rsid w:val="009F7A02"/>
    <w:rsid w:val="00A04549"/>
    <w:rsid w:val="00A2036E"/>
    <w:rsid w:val="00A25FEF"/>
    <w:rsid w:val="00A273D3"/>
    <w:rsid w:val="00A41119"/>
    <w:rsid w:val="00A4181F"/>
    <w:rsid w:val="00A45AF0"/>
    <w:rsid w:val="00A63DAF"/>
    <w:rsid w:val="00A64809"/>
    <w:rsid w:val="00A743C8"/>
    <w:rsid w:val="00A77754"/>
    <w:rsid w:val="00A81DFA"/>
    <w:rsid w:val="00A8266F"/>
    <w:rsid w:val="00A87A38"/>
    <w:rsid w:val="00A9343B"/>
    <w:rsid w:val="00A95FB7"/>
    <w:rsid w:val="00AB1F59"/>
    <w:rsid w:val="00AB35E1"/>
    <w:rsid w:val="00AB59DE"/>
    <w:rsid w:val="00AC2A39"/>
    <w:rsid w:val="00AC3513"/>
    <w:rsid w:val="00AD0AF2"/>
    <w:rsid w:val="00AD2183"/>
    <w:rsid w:val="00AD3D1E"/>
    <w:rsid w:val="00AF0A62"/>
    <w:rsid w:val="00AF40B6"/>
    <w:rsid w:val="00AF7BA7"/>
    <w:rsid w:val="00B01486"/>
    <w:rsid w:val="00B0252C"/>
    <w:rsid w:val="00B075F8"/>
    <w:rsid w:val="00B07819"/>
    <w:rsid w:val="00B10889"/>
    <w:rsid w:val="00B1518F"/>
    <w:rsid w:val="00B2342B"/>
    <w:rsid w:val="00B25C34"/>
    <w:rsid w:val="00B2697C"/>
    <w:rsid w:val="00B319C3"/>
    <w:rsid w:val="00B415B4"/>
    <w:rsid w:val="00B4570C"/>
    <w:rsid w:val="00B471AF"/>
    <w:rsid w:val="00B47C55"/>
    <w:rsid w:val="00B52CE2"/>
    <w:rsid w:val="00B5531D"/>
    <w:rsid w:val="00B57A07"/>
    <w:rsid w:val="00B60B14"/>
    <w:rsid w:val="00B6202E"/>
    <w:rsid w:val="00B62346"/>
    <w:rsid w:val="00B65FF2"/>
    <w:rsid w:val="00B71BBB"/>
    <w:rsid w:val="00B81140"/>
    <w:rsid w:val="00B81CAA"/>
    <w:rsid w:val="00B86066"/>
    <w:rsid w:val="00B91CCA"/>
    <w:rsid w:val="00B9632F"/>
    <w:rsid w:val="00B97A7D"/>
    <w:rsid w:val="00BA1E1F"/>
    <w:rsid w:val="00BA771E"/>
    <w:rsid w:val="00BC0FAF"/>
    <w:rsid w:val="00BC1745"/>
    <w:rsid w:val="00BC4B04"/>
    <w:rsid w:val="00BC64F0"/>
    <w:rsid w:val="00BC7988"/>
    <w:rsid w:val="00BD058C"/>
    <w:rsid w:val="00BD0E55"/>
    <w:rsid w:val="00BD4B92"/>
    <w:rsid w:val="00BE2892"/>
    <w:rsid w:val="00BE2A96"/>
    <w:rsid w:val="00BE2AA2"/>
    <w:rsid w:val="00BE4DCA"/>
    <w:rsid w:val="00BE5D6C"/>
    <w:rsid w:val="00BE7258"/>
    <w:rsid w:val="00BF3DC5"/>
    <w:rsid w:val="00BF40C8"/>
    <w:rsid w:val="00BF6193"/>
    <w:rsid w:val="00BF7842"/>
    <w:rsid w:val="00BF7B66"/>
    <w:rsid w:val="00BF7C60"/>
    <w:rsid w:val="00BF7E3A"/>
    <w:rsid w:val="00C000BA"/>
    <w:rsid w:val="00C02E8D"/>
    <w:rsid w:val="00C13271"/>
    <w:rsid w:val="00C15E45"/>
    <w:rsid w:val="00C20C61"/>
    <w:rsid w:val="00C20CA1"/>
    <w:rsid w:val="00C25756"/>
    <w:rsid w:val="00C32E20"/>
    <w:rsid w:val="00C4033F"/>
    <w:rsid w:val="00C42D93"/>
    <w:rsid w:val="00C43F8D"/>
    <w:rsid w:val="00C4546B"/>
    <w:rsid w:val="00C467FA"/>
    <w:rsid w:val="00C46F2B"/>
    <w:rsid w:val="00C52E2C"/>
    <w:rsid w:val="00C54117"/>
    <w:rsid w:val="00C60F8F"/>
    <w:rsid w:val="00C66BD3"/>
    <w:rsid w:val="00C707F7"/>
    <w:rsid w:val="00C72F6B"/>
    <w:rsid w:val="00C74F92"/>
    <w:rsid w:val="00C81EE7"/>
    <w:rsid w:val="00C84FCD"/>
    <w:rsid w:val="00C863AB"/>
    <w:rsid w:val="00C87222"/>
    <w:rsid w:val="00C87368"/>
    <w:rsid w:val="00C876E1"/>
    <w:rsid w:val="00C9158B"/>
    <w:rsid w:val="00C91831"/>
    <w:rsid w:val="00C93C65"/>
    <w:rsid w:val="00C9419B"/>
    <w:rsid w:val="00C94E21"/>
    <w:rsid w:val="00C95987"/>
    <w:rsid w:val="00C96912"/>
    <w:rsid w:val="00C96C84"/>
    <w:rsid w:val="00CA3838"/>
    <w:rsid w:val="00CA5FF0"/>
    <w:rsid w:val="00CB110B"/>
    <w:rsid w:val="00CB6615"/>
    <w:rsid w:val="00CC478A"/>
    <w:rsid w:val="00CC47A9"/>
    <w:rsid w:val="00CC7E2F"/>
    <w:rsid w:val="00CD044F"/>
    <w:rsid w:val="00CD0A98"/>
    <w:rsid w:val="00CD169F"/>
    <w:rsid w:val="00CD1793"/>
    <w:rsid w:val="00CD333D"/>
    <w:rsid w:val="00CD4036"/>
    <w:rsid w:val="00CD7426"/>
    <w:rsid w:val="00CE0985"/>
    <w:rsid w:val="00CE4F6C"/>
    <w:rsid w:val="00CE55CD"/>
    <w:rsid w:val="00CE5A81"/>
    <w:rsid w:val="00CF16CE"/>
    <w:rsid w:val="00CF1767"/>
    <w:rsid w:val="00CF4730"/>
    <w:rsid w:val="00CF74E3"/>
    <w:rsid w:val="00D010C9"/>
    <w:rsid w:val="00D02996"/>
    <w:rsid w:val="00D03375"/>
    <w:rsid w:val="00D1080F"/>
    <w:rsid w:val="00D15BA8"/>
    <w:rsid w:val="00D17690"/>
    <w:rsid w:val="00D22A27"/>
    <w:rsid w:val="00D25277"/>
    <w:rsid w:val="00D25BF3"/>
    <w:rsid w:val="00D2616C"/>
    <w:rsid w:val="00D30958"/>
    <w:rsid w:val="00D34C16"/>
    <w:rsid w:val="00D36D16"/>
    <w:rsid w:val="00D418F3"/>
    <w:rsid w:val="00D43B47"/>
    <w:rsid w:val="00D46802"/>
    <w:rsid w:val="00D475A5"/>
    <w:rsid w:val="00D51082"/>
    <w:rsid w:val="00D51E99"/>
    <w:rsid w:val="00D551D7"/>
    <w:rsid w:val="00D5768F"/>
    <w:rsid w:val="00D57761"/>
    <w:rsid w:val="00D60100"/>
    <w:rsid w:val="00D60BC9"/>
    <w:rsid w:val="00D654DB"/>
    <w:rsid w:val="00D66B12"/>
    <w:rsid w:val="00D76BB6"/>
    <w:rsid w:val="00D834D0"/>
    <w:rsid w:val="00D865DC"/>
    <w:rsid w:val="00D923D3"/>
    <w:rsid w:val="00DA099C"/>
    <w:rsid w:val="00DA6CFB"/>
    <w:rsid w:val="00DB03FE"/>
    <w:rsid w:val="00DB21FB"/>
    <w:rsid w:val="00DB37C1"/>
    <w:rsid w:val="00DB426A"/>
    <w:rsid w:val="00DB4496"/>
    <w:rsid w:val="00DB4F2F"/>
    <w:rsid w:val="00DB6C35"/>
    <w:rsid w:val="00DB733E"/>
    <w:rsid w:val="00DC49EB"/>
    <w:rsid w:val="00DD47F0"/>
    <w:rsid w:val="00DD7166"/>
    <w:rsid w:val="00DE08EE"/>
    <w:rsid w:val="00DE1839"/>
    <w:rsid w:val="00DE4544"/>
    <w:rsid w:val="00DE51DC"/>
    <w:rsid w:val="00DF0E46"/>
    <w:rsid w:val="00DF171A"/>
    <w:rsid w:val="00E00F1D"/>
    <w:rsid w:val="00E01925"/>
    <w:rsid w:val="00E03177"/>
    <w:rsid w:val="00E04FD4"/>
    <w:rsid w:val="00E0582C"/>
    <w:rsid w:val="00E11272"/>
    <w:rsid w:val="00E165E1"/>
    <w:rsid w:val="00E166D0"/>
    <w:rsid w:val="00E216DC"/>
    <w:rsid w:val="00E22D44"/>
    <w:rsid w:val="00E22FC1"/>
    <w:rsid w:val="00E2583E"/>
    <w:rsid w:val="00E32919"/>
    <w:rsid w:val="00E407E2"/>
    <w:rsid w:val="00E420BB"/>
    <w:rsid w:val="00E422B4"/>
    <w:rsid w:val="00E4364C"/>
    <w:rsid w:val="00E44F46"/>
    <w:rsid w:val="00E4732A"/>
    <w:rsid w:val="00E479C5"/>
    <w:rsid w:val="00E57588"/>
    <w:rsid w:val="00E6407D"/>
    <w:rsid w:val="00E73799"/>
    <w:rsid w:val="00E773E3"/>
    <w:rsid w:val="00E80778"/>
    <w:rsid w:val="00E840B0"/>
    <w:rsid w:val="00E914B7"/>
    <w:rsid w:val="00E93FE9"/>
    <w:rsid w:val="00E958EA"/>
    <w:rsid w:val="00EA2696"/>
    <w:rsid w:val="00EA7950"/>
    <w:rsid w:val="00EB7E15"/>
    <w:rsid w:val="00EC19EF"/>
    <w:rsid w:val="00EC4C24"/>
    <w:rsid w:val="00EC7435"/>
    <w:rsid w:val="00ED635A"/>
    <w:rsid w:val="00EE0C0B"/>
    <w:rsid w:val="00EE178F"/>
    <w:rsid w:val="00EE54B7"/>
    <w:rsid w:val="00EF1000"/>
    <w:rsid w:val="00EF533B"/>
    <w:rsid w:val="00EF74D9"/>
    <w:rsid w:val="00EF754D"/>
    <w:rsid w:val="00F00506"/>
    <w:rsid w:val="00F04AEA"/>
    <w:rsid w:val="00F1460B"/>
    <w:rsid w:val="00F15486"/>
    <w:rsid w:val="00F16B5A"/>
    <w:rsid w:val="00F2388E"/>
    <w:rsid w:val="00F25F76"/>
    <w:rsid w:val="00F270EB"/>
    <w:rsid w:val="00F3250C"/>
    <w:rsid w:val="00F32E3C"/>
    <w:rsid w:val="00F354FE"/>
    <w:rsid w:val="00F35FFB"/>
    <w:rsid w:val="00F36E85"/>
    <w:rsid w:val="00F52089"/>
    <w:rsid w:val="00F561C7"/>
    <w:rsid w:val="00F6010D"/>
    <w:rsid w:val="00F62BA0"/>
    <w:rsid w:val="00F63925"/>
    <w:rsid w:val="00F64219"/>
    <w:rsid w:val="00F64F7A"/>
    <w:rsid w:val="00F65BC8"/>
    <w:rsid w:val="00F65CE7"/>
    <w:rsid w:val="00F67E16"/>
    <w:rsid w:val="00F67F88"/>
    <w:rsid w:val="00F70C98"/>
    <w:rsid w:val="00F825D7"/>
    <w:rsid w:val="00F9295F"/>
    <w:rsid w:val="00F95414"/>
    <w:rsid w:val="00FA1746"/>
    <w:rsid w:val="00FA1927"/>
    <w:rsid w:val="00FB22CC"/>
    <w:rsid w:val="00FB36F3"/>
    <w:rsid w:val="00FB782B"/>
    <w:rsid w:val="00FC3F72"/>
    <w:rsid w:val="00FC4846"/>
    <w:rsid w:val="00FC7D07"/>
    <w:rsid w:val="00FD352F"/>
    <w:rsid w:val="00FD3D4C"/>
    <w:rsid w:val="00FD5578"/>
    <w:rsid w:val="00FD74D8"/>
    <w:rsid w:val="00FE2C76"/>
    <w:rsid w:val="00FE2F9F"/>
    <w:rsid w:val="00FE519B"/>
    <w:rsid w:val="00FF1023"/>
    <w:rsid w:val="00FF5996"/>
    <w:rsid w:val="00FF6267"/>
    <w:rsid w:val="00FF6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rsid w:val="00C60F8F"/>
    <w:rPr>
      <w:rFonts w:ascii="Cambria" w:eastAsia="Times New Roman" w:hAnsi="Cambria" w:cs="Times New Roman"/>
      <w:b/>
      <w:bCs/>
      <w:i/>
      <w:iCs/>
      <w:sz w:val="28"/>
      <w:szCs w:val="28"/>
    </w:rPr>
  </w:style>
  <w:style w:type="character" w:customStyle="1" w:styleId="Heading3Char">
    <w:name w:val="Heading 3 Char"/>
    <w:link w:val="Heading3"/>
    <w:uiPriority w:val="9"/>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الهوامش"/>
    <w:basedOn w:val="Normal"/>
    <w:link w:val="FootnoteTextChar"/>
    <w:uiPriority w:val="99"/>
    <w:qFormat/>
    <w:rsid w:val="0092648A"/>
    <w:pPr>
      <w:spacing w:line="216" w:lineRule="auto"/>
      <w:ind w:left="284" w:hanging="284"/>
      <w:jc w:val="both"/>
    </w:pPr>
    <w:rPr>
      <w:rFonts w:cs="mylotus"/>
      <w:sz w:val="23"/>
      <w:szCs w:val="23"/>
    </w:rPr>
  </w:style>
  <w:style w:type="character" w:styleId="FootnoteReference">
    <w:name w:val="footnote reference"/>
    <w:uiPriority w:val="99"/>
    <w:semiHidden/>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0"/>
    <w:rsid w:val="00DB733E"/>
    <w:rPr>
      <w:rFonts w:ascii="mylotus" w:hAnsi="mylotus" w:cs="mylotus"/>
      <w:sz w:val="28"/>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7E203D"/>
    <w:rPr>
      <w:sz w:val="24"/>
      <w:szCs w:val="24"/>
    </w:rPr>
  </w:style>
  <w:style w:type="character" w:customStyle="1" w:styleId="Char3">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C93C65"/>
    <w:pPr>
      <w:keepNext/>
      <w:spacing w:before="480" w:after="480"/>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C93C65"/>
    <w:rPr>
      <w:rFonts w:ascii="Qadi Linotype" w:hAnsi="Qadi Linotype" w:cs="Qadi Linotype"/>
      <w:color w:val="1F497D"/>
      <w:sz w:val="40"/>
      <w:szCs w:val="36"/>
    </w:rPr>
  </w:style>
  <w:style w:type="paragraph" w:customStyle="1" w:styleId="3">
    <w:name w:val="العنوان 3"/>
    <w:basedOn w:val="PlainText"/>
    <w:link w:val="3Char"/>
    <w:qFormat/>
    <w:rsid w:val="0071378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71378B"/>
    <w:rPr>
      <w:rFonts w:ascii="mylotus" w:hAnsi="mylotus" w:cs="mylotus"/>
      <w:bCs/>
      <w:color w:val="1F497D"/>
      <w:sz w:val="30"/>
      <w:szCs w:val="30"/>
    </w:rPr>
  </w:style>
  <w:style w:type="paragraph" w:customStyle="1" w:styleId="2">
    <w:name w:val="العنوان 2"/>
    <w:basedOn w:val="PlainText"/>
    <w:link w:val="2Char"/>
    <w:qFormat/>
    <w:rsid w:val="0071378B"/>
    <w:pPr>
      <w:keepNext/>
      <w:spacing w:before="200" w:line="216" w:lineRule="auto"/>
      <w:ind w:left="284"/>
      <w:jc w:val="both"/>
      <w:outlineLvl w:val="1"/>
    </w:pPr>
    <w:rPr>
      <w:rFonts w:ascii="Qadi Linotype" w:hAnsi="Qadi Linotype" w:cs="Qadi Linotype"/>
      <w:color w:val="1F497D"/>
      <w:sz w:val="32"/>
      <w:szCs w:val="30"/>
    </w:rPr>
  </w:style>
  <w:style w:type="character" w:customStyle="1" w:styleId="2Char">
    <w:name w:val="العنوان 2 Char"/>
    <w:link w:val="2"/>
    <w:rsid w:val="0071378B"/>
    <w:rPr>
      <w:rFonts w:ascii="Qadi Linotype" w:hAnsi="Qadi Linotype" w:cs="Qadi Linotype"/>
      <w:color w:val="1F497D"/>
      <w:sz w:val="32"/>
      <w:szCs w:val="30"/>
    </w:rPr>
  </w:style>
  <w:style w:type="paragraph" w:customStyle="1" w:styleId="a5">
    <w:name w:val="الأبواب"/>
    <w:basedOn w:val="PlainText"/>
    <w:link w:val="Char4"/>
    <w:qFormat/>
    <w:rsid w:val="00F1460B"/>
    <w:pPr>
      <w:widowControl w:val="0"/>
      <w:spacing w:before="1000" w:after="1000"/>
      <w:jc w:val="center"/>
      <w:outlineLvl w:val="0"/>
    </w:pPr>
    <w:rPr>
      <w:rFonts w:ascii="Qadi Linotype" w:hAnsi="Qadi Linotype" w:cs="Qadi Linotype"/>
      <w:color w:val="1F497D"/>
      <w:sz w:val="60"/>
      <w:szCs w:val="60"/>
    </w:rPr>
  </w:style>
  <w:style w:type="character" w:customStyle="1" w:styleId="Char4">
    <w:name w:val="الأبواب Char"/>
    <w:link w:val="a5"/>
    <w:rsid w:val="00F1460B"/>
    <w:rPr>
      <w:rFonts w:ascii="Qadi Linotype" w:hAnsi="Qadi Linotype" w:cs="Qadi Linotype"/>
      <w:color w:val="1F497D"/>
      <w:sz w:val="60"/>
      <w:szCs w:val="60"/>
      <w:lang w:bidi="ar-SA"/>
    </w:rPr>
  </w:style>
  <w:style w:type="paragraph" w:customStyle="1" w:styleId="a6">
    <w:name w:val="حديث القدسي. اقوال العلماء. الأذكار..."/>
    <w:basedOn w:val="a0"/>
    <w:link w:val="Char5"/>
    <w:rsid w:val="0086080B"/>
    <w:rPr>
      <w:bCs/>
      <w:sz w:val="27"/>
    </w:rPr>
  </w:style>
  <w:style w:type="character" w:customStyle="1" w:styleId="Char5">
    <w:name w:val="حديث القدسي. اقوال العلماء. الأذكار... Char"/>
    <w:link w:val="a6"/>
    <w:rsid w:val="0086080B"/>
    <w:rPr>
      <w:rFonts w:ascii="mylotus" w:hAnsi="mylotus" w:cs="mylotus"/>
      <w:bCs/>
      <w:sz w:val="27"/>
      <w:szCs w:val="27"/>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1378B"/>
    <w:pPr>
      <w:jc w:val="both"/>
    </w:pPr>
    <w:rPr>
      <w:rFonts w:ascii="Qadi Linotype" w:hAnsi="Qadi Linotype" w:cs="mylotus"/>
      <w:bCs/>
      <w:sz w:val="32"/>
      <w:szCs w:val="28"/>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paragraph" w:customStyle="1" w:styleId="a">
    <w:name w:val="الأعداد والأرقام"/>
    <w:basedOn w:val="a0"/>
    <w:link w:val="Char6"/>
    <w:qFormat/>
    <w:rsid w:val="00C87222"/>
    <w:pPr>
      <w:numPr>
        <w:numId w:val="12"/>
      </w:numPr>
      <w:ind w:left="568" w:hanging="284"/>
    </w:pPr>
  </w:style>
  <w:style w:type="character" w:customStyle="1" w:styleId="Char6">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uiPriority w:val="99"/>
    <w:rsid w:val="0092648A"/>
    <w:rPr>
      <w:rFonts w:cs="mylotus"/>
      <w:sz w:val="23"/>
      <w:szCs w:val="23"/>
    </w:rPr>
  </w:style>
  <w:style w:type="character" w:customStyle="1" w:styleId="FooterChar">
    <w:name w:val="Footer Char"/>
    <w:link w:val="Footer"/>
    <w:uiPriority w:val="99"/>
    <w:rsid w:val="00DA6CFB"/>
    <w:rPr>
      <w:sz w:val="22"/>
      <w:szCs w:val="22"/>
    </w:rPr>
  </w:style>
  <w:style w:type="character" w:styleId="CommentReference">
    <w:name w:val="annotation reference"/>
    <w:uiPriority w:val="99"/>
    <w:semiHidden/>
    <w:unhideWhenUsed/>
    <w:rsid w:val="00DA6CFB"/>
    <w:rPr>
      <w:sz w:val="16"/>
      <w:szCs w:val="16"/>
    </w:rPr>
  </w:style>
  <w:style w:type="paragraph" w:styleId="CommentText">
    <w:name w:val="annotation text"/>
    <w:basedOn w:val="Normal"/>
    <w:link w:val="CommentTextChar"/>
    <w:uiPriority w:val="99"/>
    <w:semiHidden/>
    <w:unhideWhenUsed/>
    <w:rsid w:val="00DA6CFB"/>
    <w:rPr>
      <w:rFonts w:ascii="Times New Roman" w:hAnsi="Times New Roman" w:cs="Simplified Arabic"/>
      <w:sz w:val="20"/>
      <w:szCs w:val="20"/>
    </w:rPr>
  </w:style>
  <w:style w:type="character" w:customStyle="1" w:styleId="CommentTextChar">
    <w:name w:val="Comment Text Char"/>
    <w:basedOn w:val="DefaultParagraphFont"/>
    <w:link w:val="CommentText"/>
    <w:uiPriority w:val="99"/>
    <w:semiHidden/>
    <w:rsid w:val="00DA6CFB"/>
    <w:rPr>
      <w:rFonts w:ascii="Times New Roman" w:hAnsi="Times New Roman" w:cs="Simplified Arabic"/>
    </w:rPr>
  </w:style>
  <w:style w:type="paragraph" w:styleId="CommentSubject">
    <w:name w:val="annotation subject"/>
    <w:basedOn w:val="CommentText"/>
    <w:next w:val="CommentText"/>
    <w:link w:val="CommentSubjectChar"/>
    <w:uiPriority w:val="99"/>
    <w:semiHidden/>
    <w:unhideWhenUsed/>
    <w:rsid w:val="00DA6CFB"/>
    <w:rPr>
      <w:rFonts w:cs="Times New Roman"/>
      <w:b/>
      <w:bCs/>
    </w:rPr>
  </w:style>
  <w:style w:type="character" w:customStyle="1" w:styleId="CommentSubjectChar">
    <w:name w:val="Comment Subject Char"/>
    <w:basedOn w:val="CommentTextChar"/>
    <w:link w:val="CommentSubject"/>
    <w:uiPriority w:val="99"/>
    <w:semiHidden/>
    <w:rsid w:val="00DA6CFB"/>
    <w:rPr>
      <w:rFonts w:ascii="Times New Roman" w:hAnsi="Times New Roman" w:cs="Times New Roman"/>
      <w:b/>
      <w:bCs/>
    </w:rPr>
  </w:style>
  <w:style w:type="character" w:customStyle="1" w:styleId="BalloonTextChar">
    <w:name w:val="Balloon Text Char"/>
    <w:link w:val="BalloonText"/>
    <w:uiPriority w:val="99"/>
    <w:semiHidden/>
    <w:rsid w:val="00DA6CFB"/>
    <w:rPr>
      <w:rFonts w:ascii="Tahoma" w:hAnsi="Tahoma" w:cs="Tahoma"/>
      <w:sz w:val="16"/>
      <w:szCs w:val="16"/>
    </w:rPr>
  </w:style>
  <w:style w:type="paragraph" w:styleId="Revision">
    <w:name w:val="Revision"/>
    <w:hidden/>
    <w:uiPriority w:val="99"/>
    <w:semiHidden/>
    <w:rsid w:val="00DA6CFB"/>
    <w:rPr>
      <w:rFonts w:ascii="Times New Roman" w:hAnsi="Times New Roman" w:cs="Simplified Arabic"/>
      <w:sz w:val="24"/>
      <w:szCs w:val="28"/>
    </w:rPr>
  </w:style>
  <w:style w:type="paragraph" w:styleId="EndnoteText">
    <w:name w:val="endnote text"/>
    <w:basedOn w:val="Normal"/>
    <w:link w:val="EndnoteTextChar"/>
    <w:uiPriority w:val="99"/>
    <w:semiHidden/>
    <w:unhideWhenUsed/>
    <w:rsid w:val="00DA6CFB"/>
    <w:rPr>
      <w:rFonts w:ascii="Times New Roman" w:hAnsi="Times New Roman" w:cs="Simplified Arabic"/>
      <w:sz w:val="20"/>
      <w:szCs w:val="20"/>
    </w:rPr>
  </w:style>
  <w:style w:type="character" w:customStyle="1" w:styleId="EndnoteTextChar">
    <w:name w:val="Endnote Text Char"/>
    <w:basedOn w:val="DefaultParagraphFont"/>
    <w:link w:val="EndnoteText"/>
    <w:uiPriority w:val="99"/>
    <w:semiHidden/>
    <w:rsid w:val="00DA6CFB"/>
    <w:rPr>
      <w:rFonts w:ascii="Times New Roman" w:hAnsi="Times New Roman" w:cs="Simplified Arabic"/>
    </w:rPr>
  </w:style>
  <w:style w:type="character" w:styleId="EndnoteReference">
    <w:name w:val="endnote reference"/>
    <w:uiPriority w:val="99"/>
    <w:semiHidden/>
    <w:unhideWhenUsed/>
    <w:rsid w:val="00DA6CFB"/>
    <w:rPr>
      <w:vertAlign w:val="superscript"/>
    </w:rPr>
  </w:style>
  <w:style w:type="table" w:styleId="MediumList2-Accent1">
    <w:name w:val="Medium List 2 Accent 1"/>
    <w:basedOn w:val="TableNormal"/>
    <w:uiPriority w:val="66"/>
    <w:rsid w:val="00DA6CFB"/>
    <w:pPr>
      <w:bidi/>
    </w:pPr>
    <w:rPr>
      <w:rFonts w:ascii="Cambria" w:eastAsia="Times New Roman" w:hAnsi="Cambria" w:cs="Times New Roman"/>
      <w:color w:val="000000"/>
      <w:sz w:val="22"/>
      <w:szCs w:val="22"/>
      <w:rt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a7">
    <w:name w:val="بوىل"/>
    <w:basedOn w:val="Normal"/>
    <w:link w:val="Char7"/>
    <w:qFormat/>
    <w:rsid w:val="0092648A"/>
    <w:pPr>
      <w:widowControl w:val="0"/>
      <w:ind w:firstLine="397"/>
    </w:pPr>
    <w:rPr>
      <w:rFonts w:ascii="mylotus" w:hAnsi="mylotus" w:cs="mylotus"/>
      <w:b/>
      <w:bCs/>
      <w:sz w:val="26"/>
      <w:szCs w:val="26"/>
    </w:rPr>
  </w:style>
  <w:style w:type="paragraph" w:customStyle="1" w:styleId="a8">
    <w:name w:val="فارسی"/>
    <w:basedOn w:val="Normal"/>
    <w:link w:val="Char8"/>
    <w:qFormat/>
    <w:rsid w:val="0092648A"/>
    <w:pPr>
      <w:widowControl w:val="0"/>
      <w:spacing w:after="120"/>
      <w:ind w:firstLine="397"/>
      <w:jc w:val="both"/>
    </w:pPr>
    <w:rPr>
      <w:rFonts w:cs="IRNazli"/>
      <w:b/>
      <w:bCs/>
      <w:sz w:val="24"/>
      <w:szCs w:val="24"/>
      <w:lang w:bidi="ar-SY"/>
    </w:rPr>
  </w:style>
  <w:style w:type="character" w:customStyle="1" w:styleId="Char7">
    <w:name w:val="بوىل Char"/>
    <w:basedOn w:val="DefaultParagraphFont"/>
    <w:link w:val="a7"/>
    <w:rsid w:val="0092648A"/>
    <w:rPr>
      <w:rFonts w:ascii="mylotus" w:hAnsi="mylotus" w:cs="mylotus"/>
      <w:b/>
      <w:bCs/>
      <w:sz w:val="26"/>
      <w:szCs w:val="26"/>
    </w:rPr>
  </w:style>
  <w:style w:type="paragraph" w:customStyle="1" w:styleId="a9">
    <w:name w:val="پاورقی فارسی"/>
    <w:basedOn w:val="Normal"/>
    <w:link w:val="Char9"/>
    <w:qFormat/>
    <w:rsid w:val="002409E8"/>
    <w:pPr>
      <w:widowControl w:val="0"/>
      <w:spacing w:line="216" w:lineRule="auto"/>
      <w:ind w:firstLine="284"/>
      <w:jc w:val="both"/>
    </w:pPr>
    <w:rPr>
      <w:rFonts w:ascii="IRNazli" w:hAnsi="IRNazli" w:cs="IRNazli"/>
      <w:b/>
      <w:bCs/>
      <w:sz w:val="20"/>
      <w:szCs w:val="20"/>
    </w:rPr>
  </w:style>
  <w:style w:type="character" w:customStyle="1" w:styleId="Char8">
    <w:name w:val="فارسی Char"/>
    <w:basedOn w:val="DefaultParagraphFont"/>
    <w:link w:val="a8"/>
    <w:rsid w:val="0092648A"/>
    <w:rPr>
      <w:rFonts w:cs="IRNazli"/>
      <w:b/>
      <w:bCs/>
      <w:sz w:val="24"/>
      <w:szCs w:val="24"/>
      <w:lang w:bidi="ar-SY"/>
    </w:rPr>
  </w:style>
  <w:style w:type="paragraph" w:styleId="ListParagraph">
    <w:name w:val="List Paragraph"/>
    <w:basedOn w:val="Normal"/>
    <w:uiPriority w:val="34"/>
    <w:rsid w:val="006E28E9"/>
    <w:pPr>
      <w:ind w:left="720"/>
      <w:contextualSpacing/>
    </w:pPr>
  </w:style>
  <w:style w:type="character" w:customStyle="1" w:styleId="Char9">
    <w:name w:val="پاورقی فارسی Char"/>
    <w:basedOn w:val="DefaultParagraphFont"/>
    <w:link w:val="a9"/>
    <w:rsid w:val="002409E8"/>
    <w:rPr>
      <w:rFonts w:ascii="IRNazli" w:hAnsi="IRNazli" w:cs="IRNazli"/>
      <w:b/>
      <w:bCs/>
    </w:rPr>
  </w:style>
  <w:style w:type="character" w:styleId="PlaceholderText">
    <w:name w:val="Placeholder Text"/>
    <w:basedOn w:val="DefaultParagraphFont"/>
    <w:uiPriority w:val="99"/>
    <w:semiHidden/>
    <w:rsid w:val="009243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rsid w:val="00C60F8F"/>
    <w:rPr>
      <w:rFonts w:ascii="Cambria" w:eastAsia="Times New Roman" w:hAnsi="Cambria" w:cs="Times New Roman"/>
      <w:b/>
      <w:bCs/>
      <w:i/>
      <w:iCs/>
      <w:sz w:val="28"/>
      <w:szCs w:val="28"/>
    </w:rPr>
  </w:style>
  <w:style w:type="character" w:customStyle="1" w:styleId="Heading3Char">
    <w:name w:val="Heading 3 Char"/>
    <w:link w:val="Heading3"/>
    <w:uiPriority w:val="9"/>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الهوامش"/>
    <w:basedOn w:val="Normal"/>
    <w:link w:val="FootnoteTextChar"/>
    <w:uiPriority w:val="99"/>
    <w:qFormat/>
    <w:rsid w:val="0092648A"/>
    <w:pPr>
      <w:spacing w:line="216" w:lineRule="auto"/>
      <w:ind w:left="284" w:hanging="284"/>
      <w:jc w:val="both"/>
    </w:pPr>
    <w:rPr>
      <w:rFonts w:cs="mylotus"/>
      <w:sz w:val="23"/>
      <w:szCs w:val="23"/>
    </w:rPr>
  </w:style>
  <w:style w:type="character" w:styleId="FootnoteReference">
    <w:name w:val="footnote reference"/>
    <w:uiPriority w:val="99"/>
    <w:semiHidden/>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0"/>
    <w:rsid w:val="00DB733E"/>
    <w:rPr>
      <w:rFonts w:ascii="mylotus" w:hAnsi="mylotus" w:cs="mylotus"/>
      <w:sz w:val="28"/>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7E203D"/>
    <w:rPr>
      <w:sz w:val="24"/>
      <w:szCs w:val="24"/>
    </w:rPr>
  </w:style>
  <w:style w:type="character" w:customStyle="1" w:styleId="Char3">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C93C65"/>
    <w:pPr>
      <w:keepNext/>
      <w:spacing w:before="480" w:after="480"/>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C93C65"/>
    <w:rPr>
      <w:rFonts w:ascii="Qadi Linotype" w:hAnsi="Qadi Linotype" w:cs="Qadi Linotype"/>
      <w:color w:val="1F497D"/>
      <w:sz w:val="40"/>
      <w:szCs w:val="36"/>
    </w:rPr>
  </w:style>
  <w:style w:type="paragraph" w:customStyle="1" w:styleId="3">
    <w:name w:val="العنوان 3"/>
    <w:basedOn w:val="PlainText"/>
    <w:link w:val="3Char"/>
    <w:qFormat/>
    <w:rsid w:val="0071378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71378B"/>
    <w:rPr>
      <w:rFonts w:ascii="mylotus" w:hAnsi="mylotus" w:cs="mylotus"/>
      <w:bCs/>
      <w:color w:val="1F497D"/>
      <w:sz w:val="30"/>
      <w:szCs w:val="30"/>
    </w:rPr>
  </w:style>
  <w:style w:type="paragraph" w:customStyle="1" w:styleId="2">
    <w:name w:val="العنوان 2"/>
    <w:basedOn w:val="PlainText"/>
    <w:link w:val="2Char"/>
    <w:qFormat/>
    <w:rsid w:val="0071378B"/>
    <w:pPr>
      <w:keepNext/>
      <w:spacing w:before="200" w:line="216" w:lineRule="auto"/>
      <w:ind w:left="284"/>
      <w:jc w:val="both"/>
      <w:outlineLvl w:val="1"/>
    </w:pPr>
    <w:rPr>
      <w:rFonts w:ascii="Qadi Linotype" w:hAnsi="Qadi Linotype" w:cs="Qadi Linotype"/>
      <w:color w:val="1F497D"/>
      <w:sz w:val="32"/>
      <w:szCs w:val="30"/>
    </w:rPr>
  </w:style>
  <w:style w:type="character" w:customStyle="1" w:styleId="2Char">
    <w:name w:val="العنوان 2 Char"/>
    <w:link w:val="2"/>
    <w:rsid w:val="0071378B"/>
    <w:rPr>
      <w:rFonts w:ascii="Qadi Linotype" w:hAnsi="Qadi Linotype" w:cs="Qadi Linotype"/>
      <w:color w:val="1F497D"/>
      <w:sz w:val="32"/>
      <w:szCs w:val="30"/>
    </w:rPr>
  </w:style>
  <w:style w:type="paragraph" w:customStyle="1" w:styleId="a5">
    <w:name w:val="الأبواب"/>
    <w:basedOn w:val="PlainText"/>
    <w:link w:val="Char4"/>
    <w:qFormat/>
    <w:rsid w:val="00F1460B"/>
    <w:pPr>
      <w:widowControl w:val="0"/>
      <w:spacing w:before="1000" w:after="1000"/>
      <w:jc w:val="center"/>
      <w:outlineLvl w:val="0"/>
    </w:pPr>
    <w:rPr>
      <w:rFonts w:ascii="Qadi Linotype" w:hAnsi="Qadi Linotype" w:cs="Qadi Linotype"/>
      <w:color w:val="1F497D"/>
      <w:sz w:val="60"/>
      <w:szCs w:val="60"/>
    </w:rPr>
  </w:style>
  <w:style w:type="character" w:customStyle="1" w:styleId="Char4">
    <w:name w:val="الأبواب Char"/>
    <w:link w:val="a5"/>
    <w:rsid w:val="00F1460B"/>
    <w:rPr>
      <w:rFonts w:ascii="Qadi Linotype" w:hAnsi="Qadi Linotype" w:cs="Qadi Linotype"/>
      <w:color w:val="1F497D"/>
      <w:sz w:val="60"/>
      <w:szCs w:val="60"/>
      <w:lang w:bidi="ar-SA"/>
    </w:rPr>
  </w:style>
  <w:style w:type="paragraph" w:customStyle="1" w:styleId="a6">
    <w:name w:val="حديث القدسي. اقوال العلماء. الأذكار..."/>
    <w:basedOn w:val="a0"/>
    <w:link w:val="Char5"/>
    <w:rsid w:val="0086080B"/>
    <w:rPr>
      <w:bCs/>
      <w:sz w:val="27"/>
    </w:rPr>
  </w:style>
  <w:style w:type="character" w:customStyle="1" w:styleId="Char5">
    <w:name w:val="حديث القدسي. اقوال العلماء. الأذكار... Char"/>
    <w:link w:val="a6"/>
    <w:rsid w:val="0086080B"/>
    <w:rPr>
      <w:rFonts w:ascii="mylotus" w:hAnsi="mylotus" w:cs="mylotus"/>
      <w:bCs/>
      <w:sz w:val="27"/>
      <w:szCs w:val="27"/>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1378B"/>
    <w:pPr>
      <w:jc w:val="both"/>
    </w:pPr>
    <w:rPr>
      <w:rFonts w:ascii="Qadi Linotype" w:hAnsi="Qadi Linotype" w:cs="mylotus"/>
      <w:bCs/>
      <w:sz w:val="32"/>
      <w:szCs w:val="28"/>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paragraph" w:customStyle="1" w:styleId="a">
    <w:name w:val="الأعداد والأرقام"/>
    <w:basedOn w:val="a0"/>
    <w:link w:val="Char6"/>
    <w:qFormat/>
    <w:rsid w:val="00C87222"/>
    <w:pPr>
      <w:numPr>
        <w:numId w:val="12"/>
      </w:numPr>
      <w:ind w:left="568" w:hanging="284"/>
    </w:pPr>
  </w:style>
  <w:style w:type="character" w:customStyle="1" w:styleId="Char6">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uiPriority w:val="99"/>
    <w:rsid w:val="0092648A"/>
    <w:rPr>
      <w:rFonts w:cs="mylotus"/>
      <w:sz w:val="23"/>
      <w:szCs w:val="23"/>
    </w:rPr>
  </w:style>
  <w:style w:type="character" w:customStyle="1" w:styleId="FooterChar">
    <w:name w:val="Footer Char"/>
    <w:link w:val="Footer"/>
    <w:uiPriority w:val="99"/>
    <w:rsid w:val="00DA6CFB"/>
    <w:rPr>
      <w:sz w:val="22"/>
      <w:szCs w:val="22"/>
    </w:rPr>
  </w:style>
  <w:style w:type="character" w:styleId="CommentReference">
    <w:name w:val="annotation reference"/>
    <w:uiPriority w:val="99"/>
    <w:semiHidden/>
    <w:unhideWhenUsed/>
    <w:rsid w:val="00DA6CFB"/>
    <w:rPr>
      <w:sz w:val="16"/>
      <w:szCs w:val="16"/>
    </w:rPr>
  </w:style>
  <w:style w:type="paragraph" w:styleId="CommentText">
    <w:name w:val="annotation text"/>
    <w:basedOn w:val="Normal"/>
    <w:link w:val="CommentTextChar"/>
    <w:uiPriority w:val="99"/>
    <w:semiHidden/>
    <w:unhideWhenUsed/>
    <w:rsid w:val="00DA6CFB"/>
    <w:rPr>
      <w:rFonts w:ascii="Times New Roman" w:hAnsi="Times New Roman" w:cs="Simplified Arabic"/>
      <w:sz w:val="20"/>
      <w:szCs w:val="20"/>
    </w:rPr>
  </w:style>
  <w:style w:type="character" w:customStyle="1" w:styleId="CommentTextChar">
    <w:name w:val="Comment Text Char"/>
    <w:basedOn w:val="DefaultParagraphFont"/>
    <w:link w:val="CommentText"/>
    <w:uiPriority w:val="99"/>
    <w:semiHidden/>
    <w:rsid w:val="00DA6CFB"/>
    <w:rPr>
      <w:rFonts w:ascii="Times New Roman" w:hAnsi="Times New Roman" w:cs="Simplified Arabic"/>
    </w:rPr>
  </w:style>
  <w:style w:type="paragraph" w:styleId="CommentSubject">
    <w:name w:val="annotation subject"/>
    <w:basedOn w:val="CommentText"/>
    <w:next w:val="CommentText"/>
    <w:link w:val="CommentSubjectChar"/>
    <w:uiPriority w:val="99"/>
    <w:semiHidden/>
    <w:unhideWhenUsed/>
    <w:rsid w:val="00DA6CFB"/>
    <w:rPr>
      <w:rFonts w:cs="Times New Roman"/>
      <w:b/>
      <w:bCs/>
    </w:rPr>
  </w:style>
  <w:style w:type="character" w:customStyle="1" w:styleId="CommentSubjectChar">
    <w:name w:val="Comment Subject Char"/>
    <w:basedOn w:val="CommentTextChar"/>
    <w:link w:val="CommentSubject"/>
    <w:uiPriority w:val="99"/>
    <w:semiHidden/>
    <w:rsid w:val="00DA6CFB"/>
    <w:rPr>
      <w:rFonts w:ascii="Times New Roman" w:hAnsi="Times New Roman" w:cs="Times New Roman"/>
      <w:b/>
      <w:bCs/>
    </w:rPr>
  </w:style>
  <w:style w:type="character" w:customStyle="1" w:styleId="BalloonTextChar">
    <w:name w:val="Balloon Text Char"/>
    <w:link w:val="BalloonText"/>
    <w:uiPriority w:val="99"/>
    <w:semiHidden/>
    <w:rsid w:val="00DA6CFB"/>
    <w:rPr>
      <w:rFonts w:ascii="Tahoma" w:hAnsi="Tahoma" w:cs="Tahoma"/>
      <w:sz w:val="16"/>
      <w:szCs w:val="16"/>
    </w:rPr>
  </w:style>
  <w:style w:type="paragraph" w:styleId="Revision">
    <w:name w:val="Revision"/>
    <w:hidden/>
    <w:uiPriority w:val="99"/>
    <w:semiHidden/>
    <w:rsid w:val="00DA6CFB"/>
    <w:rPr>
      <w:rFonts w:ascii="Times New Roman" w:hAnsi="Times New Roman" w:cs="Simplified Arabic"/>
      <w:sz w:val="24"/>
      <w:szCs w:val="28"/>
    </w:rPr>
  </w:style>
  <w:style w:type="paragraph" w:styleId="EndnoteText">
    <w:name w:val="endnote text"/>
    <w:basedOn w:val="Normal"/>
    <w:link w:val="EndnoteTextChar"/>
    <w:uiPriority w:val="99"/>
    <w:semiHidden/>
    <w:unhideWhenUsed/>
    <w:rsid w:val="00DA6CFB"/>
    <w:rPr>
      <w:rFonts w:ascii="Times New Roman" w:hAnsi="Times New Roman" w:cs="Simplified Arabic"/>
      <w:sz w:val="20"/>
      <w:szCs w:val="20"/>
    </w:rPr>
  </w:style>
  <w:style w:type="character" w:customStyle="1" w:styleId="EndnoteTextChar">
    <w:name w:val="Endnote Text Char"/>
    <w:basedOn w:val="DefaultParagraphFont"/>
    <w:link w:val="EndnoteText"/>
    <w:uiPriority w:val="99"/>
    <w:semiHidden/>
    <w:rsid w:val="00DA6CFB"/>
    <w:rPr>
      <w:rFonts w:ascii="Times New Roman" w:hAnsi="Times New Roman" w:cs="Simplified Arabic"/>
    </w:rPr>
  </w:style>
  <w:style w:type="character" w:styleId="EndnoteReference">
    <w:name w:val="endnote reference"/>
    <w:uiPriority w:val="99"/>
    <w:semiHidden/>
    <w:unhideWhenUsed/>
    <w:rsid w:val="00DA6CFB"/>
    <w:rPr>
      <w:vertAlign w:val="superscript"/>
    </w:rPr>
  </w:style>
  <w:style w:type="table" w:styleId="MediumList2-Accent1">
    <w:name w:val="Medium List 2 Accent 1"/>
    <w:basedOn w:val="TableNormal"/>
    <w:uiPriority w:val="66"/>
    <w:rsid w:val="00DA6CFB"/>
    <w:pPr>
      <w:bidi/>
    </w:pPr>
    <w:rPr>
      <w:rFonts w:ascii="Cambria" w:eastAsia="Times New Roman" w:hAnsi="Cambria" w:cs="Times New Roman"/>
      <w:color w:val="000000"/>
      <w:sz w:val="22"/>
      <w:szCs w:val="22"/>
      <w:rt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a7">
    <w:name w:val="بوىل"/>
    <w:basedOn w:val="Normal"/>
    <w:link w:val="Char7"/>
    <w:qFormat/>
    <w:rsid w:val="0092648A"/>
    <w:pPr>
      <w:widowControl w:val="0"/>
      <w:ind w:firstLine="397"/>
    </w:pPr>
    <w:rPr>
      <w:rFonts w:ascii="mylotus" w:hAnsi="mylotus" w:cs="mylotus"/>
      <w:b/>
      <w:bCs/>
      <w:sz w:val="26"/>
      <w:szCs w:val="26"/>
    </w:rPr>
  </w:style>
  <w:style w:type="paragraph" w:customStyle="1" w:styleId="a8">
    <w:name w:val="فارسی"/>
    <w:basedOn w:val="Normal"/>
    <w:link w:val="Char8"/>
    <w:qFormat/>
    <w:rsid w:val="0092648A"/>
    <w:pPr>
      <w:widowControl w:val="0"/>
      <w:spacing w:after="120"/>
      <w:ind w:firstLine="397"/>
      <w:jc w:val="both"/>
    </w:pPr>
    <w:rPr>
      <w:rFonts w:cs="IRNazli"/>
      <w:b/>
      <w:bCs/>
      <w:sz w:val="24"/>
      <w:szCs w:val="24"/>
      <w:lang w:bidi="ar-SY"/>
    </w:rPr>
  </w:style>
  <w:style w:type="character" w:customStyle="1" w:styleId="Char7">
    <w:name w:val="بوىل Char"/>
    <w:basedOn w:val="DefaultParagraphFont"/>
    <w:link w:val="a7"/>
    <w:rsid w:val="0092648A"/>
    <w:rPr>
      <w:rFonts w:ascii="mylotus" w:hAnsi="mylotus" w:cs="mylotus"/>
      <w:b/>
      <w:bCs/>
      <w:sz w:val="26"/>
      <w:szCs w:val="26"/>
    </w:rPr>
  </w:style>
  <w:style w:type="paragraph" w:customStyle="1" w:styleId="a9">
    <w:name w:val="پاورقی فارسی"/>
    <w:basedOn w:val="Normal"/>
    <w:link w:val="Char9"/>
    <w:qFormat/>
    <w:rsid w:val="002409E8"/>
    <w:pPr>
      <w:widowControl w:val="0"/>
      <w:spacing w:line="216" w:lineRule="auto"/>
      <w:ind w:firstLine="284"/>
      <w:jc w:val="both"/>
    </w:pPr>
    <w:rPr>
      <w:rFonts w:ascii="IRNazli" w:hAnsi="IRNazli" w:cs="IRNazli"/>
      <w:b/>
      <w:bCs/>
      <w:sz w:val="20"/>
      <w:szCs w:val="20"/>
    </w:rPr>
  </w:style>
  <w:style w:type="character" w:customStyle="1" w:styleId="Char8">
    <w:name w:val="فارسی Char"/>
    <w:basedOn w:val="DefaultParagraphFont"/>
    <w:link w:val="a8"/>
    <w:rsid w:val="0092648A"/>
    <w:rPr>
      <w:rFonts w:cs="IRNazli"/>
      <w:b/>
      <w:bCs/>
      <w:sz w:val="24"/>
      <w:szCs w:val="24"/>
      <w:lang w:bidi="ar-SY"/>
    </w:rPr>
  </w:style>
  <w:style w:type="paragraph" w:styleId="ListParagraph">
    <w:name w:val="List Paragraph"/>
    <w:basedOn w:val="Normal"/>
    <w:uiPriority w:val="34"/>
    <w:rsid w:val="006E28E9"/>
    <w:pPr>
      <w:ind w:left="720"/>
      <w:contextualSpacing/>
    </w:pPr>
  </w:style>
  <w:style w:type="character" w:customStyle="1" w:styleId="Char9">
    <w:name w:val="پاورقی فارسی Char"/>
    <w:basedOn w:val="DefaultParagraphFont"/>
    <w:link w:val="a9"/>
    <w:rsid w:val="002409E8"/>
    <w:rPr>
      <w:rFonts w:ascii="IRNazli" w:hAnsi="IRNazli" w:cs="IRNazli"/>
      <w:b/>
      <w:bCs/>
    </w:rPr>
  </w:style>
  <w:style w:type="character" w:styleId="PlaceholderText">
    <w:name w:val="Placeholder Text"/>
    <w:basedOn w:val="DefaultParagraphFont"/>
    <w:uiPriority w:val="99"/>
    <w:semiHidden/>
    <w:rsid w:val="009243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 w:id="1322079093">
      <w:bodyDiv w:val="1"/>
      <w:marLeft w:val="0"/>
      <w:marRight w:val="0"/>
      <w:marTop w:val="0"/>
      <w:marBottom w:val="0"/>
      <w:divBdr>
        <w:top w:val="none" w:sz="0" w:space="0" w:color="auto"/>
        <w:left w:val="none" w:sz="0" w:space="0" w:color="auto"/>
        <w:bottom w:val="none" w:sz="0" w:space="0" w:color="auto"/>
        <w:right w:val="none" w:sz="0" w:space="0" w:color="auto"/>
      </w:divBdr>
    </w:div>
    <w:div w:id="1377508687">
      <w:bodyDiv w:val="1"/>
      <w:marLeft w:val="0"/>
      <w:marRight w:val="0"/>
      <w:marTop w:val="0"/>
      <w:marBottom w:val="0"/>
      <w:divBdr>
        <w:top w:val="none" w:sz="0" w:space="0" w:color="auto"/>
        <w:left w:val="none" w:sz="0" w:space="0" w:color="auto"/>
        <w:bottom w:val="none" w:sz="0" w:space="0" w:color="auto"/>
        <w:right w:val="none" w:sz="0" w:space="0" w:color="auto"/>
      </w:divBdr>
      <w:divsChild>
        <w:div w:id="884685298">
          <w:marLeft w:val="0"/>
          <w:marRight w:val="0"/>
          <w:marTop w:val="0"/>
          <w:marBottom w:val="0"/>
          <w:divBdr>
            <w:top w:val="none" w:sz="0" w:space="0" w:color="auto"/>
            <w:left w:val="none" w:sz="0" w:space="0" w:color="auto"/>
            <w:bottom w:val="none" w:sz="0" w:space="0" w:color="auto"/>
            <w:right w:val="none" w:sz="0" w:space="0" w:color="auto"/>
          </w:divBdr>
        </w:div>
        <w:div w:id="249239460">
          <w:marLeft w:val="0"/>
          <w:marRight w:val="0"/>
          <w:marTop w:val="0"/>
          <w:marBottom w:val="0"/>
          <w:divBdr>
            <w:top w:val="none" w:sz="0" w:space="0" w:color="auto"/>
            <w:left w:val="none" w:sz="0" w:space="0" w:color="auto"/>
            <w:bottom w:val="none" w:sz="0" w:space="0" w:color="auto"/>
            <w:right w:val="none" w:sz="0" w:space="0" w:color="auto"/>
          </w:divBdr>
        </w:div>
        <w:div w:id="2079621087">
          <w:marLeft w:val="0"/>
          <w:marRight w:val="0"/>
          <w:marTop w:val="0"/>
          <w:marBottom w:val="0"/>
          <w:divBdr>
            <w:top w:val="none" w:sz="0" w:space="0" w:color="auto"/>
            <w:left w:val="none" w:sz="0" w:space="0" w:color="auto"/>
            <w:bottom w:val="none" w:sz="0" w:space="0" w:color="auto"/>
            <w:right w:val="none" w:sz="0" w:space="0" w:color="auto"/>
          </w:divBdr>
        </w:div>
        <w:div w:id="1187409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aidullah\Desktop\&#1589;&#1601;&#1581;&#1607;%20&#1570;&#1585;&#1575;&#1740;&#1740;\&#1705;&#1578;&#1575;&#1576;&#1607;&#1575;&#1740;&#1740;%20&#1705;&#1607;%20&#1575;&#1586;%20&#1591;&#1585;&#1601;%20&#1587;&#1575;&#1740;&#1578;%20&#1576;&#1585;&#1575;&#1740;%20&#1605;&#1606;%20&#1601;&#1585;&#1587;&#1578;&#1575;&#1583;&#1607;%20&#1588;&#1583;&#1607;\2.23....2016\&#1578;&#1605;&#1576;&#1604;&#1610;&#1578;%20&#1603;&#1578;&#1576;%20&#1575;&#1604;&#1591;&#1585;&#1610;&#1601;&#16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3F6E6-7A62-4858-9D6D-E5686E5EB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تمبليت كتب الطريفي.dotx</Template>
  <TotalTime>204</TotalTime>
  <Pages>1</Pages>
  <Words>43384</Words>
  <Characters>247295</Characters>
  <Application>Microsoft Office Word</Application>
  <DocSecurity>8</DocSecurity>
  <Lines>2060</Lines>
  <Paragraphs>580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ترجمة جزء من كتاب: (جريان‌ها و سازمان‌هاي سیاسي مذهبي ایران)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290099</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ترجمة جزء من كتاب: (جريان‌ها و سازمان‌هاي سیاسي مذهبي ایران)</dc:title>
  <dc:creator>رسول جعفريان</dc:creator>
  <cp:keywords>کتابخانه; قلم; عقیده; موحدين; موحدین; کتاب; مكتبة; القلم; العقيدة; qalam; library; http:/qalamlib.com; http:/qalamlibrary.com; http:/mowahedin.com; http:/aqeedeh.com</cp:keywords>
  <cp:lastModifiedBy>Dell</cp:lastModifiedBy>
  <cp:revision>9</cp:revision>
  <dcterms:created xsi:type="dcterms:W3CDTF">2016-02-23T08:06:00Z</dcterms:created>
  <dcterms:modified xsi:type="dcterms:W3CDTF">2016-02-24T05:46:00Z</dcterms:modified>
  <cp:version>1.0 Feb 2016</cp:version>
</cp:coreProperties>
</file>